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9E8" w:rsidRPr="009F59E8" w:rsidRDefault="009F59E8" w:rsidP="009F59E8">
      <w:pPr>
        <w:spacing w:before="100" w:beforeAutospacing="1" w:after="100" w:afterAutospacing="1" w:line="240" w:lineRule="auto"/>
        <w:outlineLvl w:val="0"/>
        <w:rPr>
          <w:rFonts w:eastAsia="Times New Roman" w:cs="Times New Roman"/>
          <w:b/>
          <w:bCs/>
          <w:kern w:val="36"/>
          <w:sz w:val="48"/>
          <w:szCs w:val="48"/>
        </w:rPr>
      </w:pPr>
      <w:r w:rsidRPr="009F59E8">
        <w:rPr>
          <w:rFonts w:eastAsia="Times New Roman" w:cs="Times New Roman"/>
          <w:b/>
          <w:bCs/>
          <w:kern w:val="36"/>
          <w:sz w:val="48"/>
          <w:szCs w:val="48"/>
        </w:rPr>
        <w:t>Cam Kết Mở Cửa Thị Trường Dịch Vụ Kế Toán, Kiểm Toán, Dịch Vụ Thuế</w:t>
      </w:r>
    </w:p>
    <w:p w:rsidR="009F59E8" w:rsidRPr="009F59E8" w:rsidRDefault="009F59E8" w:rsidP="009F59E8">
      <w:pPr>
        <w:spacing w:after="0" w:line="240" w:lineRule="auto"/>
        <w:rPr>
          <w:rFonts w:eastAsia="Times New Roman" w:cs="Times New Roman"/>
          <w:sz w:val="24"/>
          <w:szCs w:val="24"/>
        </w:rPr>
      </w:pPr>
      <w:r w:rsidRPr="009F59E8">
        <w:rPr>
          <w:rFonts w:eastAsia="Times New Roman" w:cs="Times New Roman"/>
          <w:sz w:val="24"/>
          <w:szCs w:val="24"/>
        </w:rPr>
        <w:t xml:space="preserve">27/01/2010 </w:t>
      </w:r>
    </w:p>
    <w:p w:rsidR="009F59E8" w:rsidRPr="009F59E8" w:rsidRDefault="009F59E8" w:rsidP="009F59E8">
      <w:pPr>
        <w:spacing w:after="0" w:line="240" w:lineRule="auto"/>
        <w:rPr>
          <w:rFonts w:eastAsia="Times New Roman" w:cs="Times New Roman"/>
          <w:sz w:val="24"/>
          <w:szCs w:val="24"/>
        </w:rPr>
      </w:pPr>
      <w:hyperlink r:id="rId5" w:history="1">
        <w:r w:rsidRPr="009F59E8">
          <w:rPr>
            <w:rFonts w:eastAsia="Times New Roman" w:cs="Times New Roman"/>
            <w:b/>
            <w:bCs/>
            <w:color w:val="0000FF"/>
            <w:sz w:val="24"/>
            <w:szCs w:val="24"/>
            <w:u w:val="single"/>
          </w:rPr>
          <w:t>Việt Nam có cam kết mở cửa thị trường trong những phân ngành nào của dịch vụ kế toán, kiểm toán, ghi sổ kế toán và dịch vụ thuế?</w:t>
        </w:r>
      </w:hyperlink>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 xml:space="preserve">Đối với lĩnh vực kế toán, kiểm toán, ghi sổ kế toán và dịch vụ thuế, Việt Nam đưa ra cam kết đối với từng phân ngành dịch vụ theo </w:t>
      </w:r>
      <w:r w:rsidRPr="009F59E8">
        <w:rPr>
          <w:rFonts w:eastAsia="Times New Roman" w:cs="Times New Roman"/>
          <w:i/>
          <w:iCs/>
          <w:sz w:val="24"/>
          <w:szCs w:val="24"/>
        </w:rPr>
        <w:t>Hệ thống Phân loại sản phẩm chủ yếu</w:t>
      </w:r>
      <w:r w:rsidRPr="009F59E8">
        <w:rPr>
          <w:rFonts w:eastAsia="Times New Roman" w:cs="Times New Roman"/>
          <w:sz w:val="24"/>
          <w:szCs w:val="24"/>
        </w:rPr>
        <w:t xml:space="preserve"> (CPC) của Liên Hợp Quốc.</w:t>
      </w:r>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Cụ thể, Việt Nam có cam kết trong các phân ngành:</w:t>
      </w:r>
    </w:p>
    <w:p w:rsidR="009F59E8" w:rsidRPr="009F59E8" w:rsidRDefault="009F59E8" w:rsidP="009F59E8">
      <w:pPr>
        <w:numPr>
          <w:ilvl w:val="0"/>
          <w:numId w:val="1"/>
        </w:num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 xml:space="preserve">Dịch vụ kiểm toán tài chính (CPC 86211); </w:t>
      </w:r>
    </w:p>
    <w:p w:rsidR="009F59E8" w:rsidRPr="009F59E8" w:rsidRDefault="009F59E8" w:rsidP="009F59E8">
      <w:pPr>
        <w:numPr>
          <w:ilvl w:val="0"/>
          <w:numId w:val="1"/>
        </w:num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 xml:space="preserve">Dịch vụ rà soát kế toán (CPC 86212); </w:t>
      </w:r>
    </w:p>
    <w:p w:rsidR="009F59E8" w:rsidRPr="009F59E8" w:rsidRDefault="009F59E8" w:rsidP="009F59E8">
      <w:pPr>
        <w:numPr>
          <w:ilvl w:val="0"/>
          <w:numId w:val="1"/>
        </w:num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Dịch vụ thu thập, tổng hợp các báo cáo tài chính (CPC 86213);</w:t>
      </w:r>
    </w:p>
    <w:p w:rsidR="009F59E8" w:rsidRPr="009F59E8" w:rsidRDefault="009F59E8" w:rsidP="009F59E8">
      <w:pPr>
        <w:numPr>
          <w:ilvl w:val="0"/>
          <w:numId w:val="1"/>
        </w:num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 xml:space="preserve">Dịch vụ ghi sổ kế toán (CPC 86220); </w:t>
      </w:r>
    </w:p>
    <w:p w:rsidR="009F59E8" w:rsidRPr="009F59E8" w:rsidRDefault="009F59E8" w:rsidP="009F59E8">
      <w:pPr>
        <w:numPr>
          <w:ilvl w:val="0"/>
          <w:numId w:val="1"/>
        </w:num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Các dịch vụ kế toán khác (CPC 86219);</w:t>
      </w:r>
    </w:p>
    <w:p w:rsidR="009F59E8" w:rsidRPr="009F59E8" w:rsidRDefault="009F59E8" w:rsidP="009F59E8">
      <w:pPr>
        <w:numPr>
          <w:ilvl w:val="0"/>
          <w:numId w:val="1"/>
        </w:num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Dịch vụ tư vấn và lập kế hoạch thuế kinh doanh (CPC 86301);</w:t>
      </w:r>
    </w:p>
    <w:p w:rsidR="009F59E8" w:rsidRPr="009F59E8" w:rsidRDefault="009F59E8" w:rsidP="009F59E8">
      <w:pPr>
        <w:numPr>
          <w:ilvl w:val="0"/>
          <w:numId w:val="1"/>
        </w:num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 xml:space="preserve">Dịch vụ chuẩn bị, rà soát thuế kinh doanh (CPC 86302); </w:t>
      </w:r>
    </w:p>
    <w:p w:rsidR="009F59E8" w:rsidRPr="009F59E8" w:rsidRDefault="009F59E8" w:rsidP="009F59E8">
      <w:pPr>
        <w:numPr>
          <w:ilvl w:val="0"/>
          <w:numId w:val="1"/>
        </w:num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Các dịch vụ khác liên quan tới thuế (CPC 86309).</w:t>
      </w:r>
    </w:p>
    <w:p w:rsidR="009F59E8" w:rsidRPr="009F59E8" w:rsidRDefault="009F59E8" w:rsidP="009F59E8">
      <w:pPr>
        <w:spacing w:after="0" w:line="240" w:lineRule="auto"/>
        <w:rPr>
          <w:rFonts w:eastAsia="Times New Roman" w:cs="Times New Roman"/>
          <w:sz w:val="24"/>
          <w:szCs w:val="24"/>
        </w:rPr>
      </w:pPr>
      <w:hyperlink r:id="rId6" w:history="1">
        <w:r w:rsidRPr="009F59E8">
          <w:rPr>
            <w:rFonts w:eastAsia="Times New Roman" w:cs="Times New Roman"/>
            <w:b/>
            <w:bCs/>
            <w:color w:val="0000FF"/>
            <w:sz w:val="24"/>
            <w:szCs w:val="24"/>
            <w:u w:val="single"/>
          </w:rPr>
          <w:t>Doanh nghiệp kế toán, kiểm toán nước ngoài không có hiện diện tại Việt Nam có được cung cấp dịch vụ trên lãnh thổ Việt Nam không?</w:t>
        </w:r>
      </w:hyperlink>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Trong Biểu cam kết, việc các doanh nghiệp kế toán, kiểm toán ở nước ngoài cung cấp dịch vụ cho các doanh nghiệp hoạt động tại Việt Nam được xếp vào diện “cung cấp dịch vụ qua phương thức 1” (</w:t>
      </w:r>
      <w:r w:rsidRPr="009F59E8">
        <w:rPr>
          <w:rFonts w:eastAsia="Times New Roman" w:cs="Times New Roman"/>
          <w:b/>
          <w:bCs/>
          <w:i/>
          <w:iCs/>
          <w:sz w:val="24"/>
          <w:szCs w:val="24"/>
        </w:rPr>
        <w:t>cung cấp qua biên giới</w:t>
      </w:r>
      <w:r w:rsidRPr="009F59E8">
        <w:rPr>
          <w:rFonts w:eastAsia="Times New Roman" w:cs="Times New Roman"/>
          <w:sz w:val="24"/>
          <w:szCs w:val="24"/>
        </w:rPr>
        <w:t>).</w:t>
      </w:r>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 xml:space="preserve">Theo cam kết, Việt Nam </w:t>
      </w:r>
      <w:r w:rsidRPr="009F59E8">
        <w:rPr>
          <w:rFonts w:eastAsia="Times New Roman" w:cs="Times New Roman"/>
          <w:b/>
          <w:bCs/>
          <w:i/>
          <w:iCs/>
          <w:sz w:val="24"/>
          <w:szCs w:val="24"/>
        </w:rPr>
        <w:t>không hạn chế</w:t>
      </w:r>
      <w:r w:rsidRPr="009F59E8">
        <w:rPr>
          <w:rFonts w:eastAsia="Times New Roman" w:cs="Times New Roman"/>
          <w:sz w:val="24"/>
          <w:szCs w:val="24"/>
        </w:rPr>
        <w:t xml:space="preserve"> phương thức cung cấp qua biên giới đối với dịch vụ kế toán, kiểm toán, ghi sổ kế toán, dịch vụ thuế. Do đó, các doanh nghiệp Việt Nam có thể thuê doanh nghiệp kế toán, kiểm toán nước ngoài cung cấp các dịch vụ cho mình.</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9F59E8" w:rsidRPr="009F59E8" w:rsidTr="009F59E8">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b/>
                <w:bCs/>
                <w:sz w:val="24"/>
                <w:szCs w:val="24"/>
              </w:rPr>
              <w:t>Để cung cấp dịch vụ kế toán, kiểm toán qua biên giới, các bên có thể thực hiện những hoạt động gì?</w:t>
            </w:r>
            <w:r w:rsidRPr="009F59E8">
              <w:rPr>
                <w:rFonts w:eastAsia="Times New Roman" w:cs="Times New Roman"/>
                <w:sz w:val="24"/>
                <w:szCs w:val="24"/>
              </w:rPr>
              <w:br/>
              <w:t xml:space="preserve">Việt Nam cam kết cho phép các nhà cung cấp dịch vụ kế toán, kiểm toán của các nước thành viên khác được cung cấp dịch vụ kiểm toán, kế toán qua biên giới. Thực hiện cam kết này, Việt Nam đồng thời </w:t>
            </w:r>
            <w:r w:rsidRPr="009F59E8">
              <w:rPr>
                <w:rFonts w:eastAsia="Times New Roman" w:cs="Times New Roman"/>
                <w:b/>
                <w:bCs/>
                <w:i/>
                <w:iCs/>
                <w:sz w:val="24"/>
                <w:szCs w:val="24"/>
              </w:rPr>
              <w:t xml:space="preserve">cho phép các bên liên quan thực hiện những hoạt động liên quan </w:t>
            </w:r>
            <w:r w:rsidRPr="009F59E8">
              <w:rPr>
                <w:rFonts w:eastAsia="Times New Roman" w:cs="Times New Roman"/>
                <w:sz w:val="24"/>
                <w:szCs w:val="24"/>
              </w:rPr>
              <w:t>(kể cả các hoạt động thuộc các phương thức cung cấp dịch vụ khác), ví dụ:</w:t>
            </w:r>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 xml:space="preserve">- Doanh nghiệp Việt Nam có thể </w:t>
            </w:r>
            <w:r w:rsidRPr="009F59E8">
              <w:rPr>
                <w:rFonts w:eastAsia="Times New Roman" w:cs="Times New Roman"/>
                <w:i/>
                <w:iCs/>
                <w:sz w:val="24"/>
                <w:szCs w:val="24"/>
              </w:rPr>
              <w:t>gửi tài liệu, giấy tờ, sổ sách kế toán của mình ra nước ngoài</w:t>
            </w:r>
            <w:r w:rsidRPr="009F59E8">
              <w:rPr>
                <w:rFonts w:eastAsia="Times New Roman" w:cs="Times New Roman"/>
                <w:sz w:val="24"/>
                <w:szCs w:val="24"/>
              </w:rPr>
              <w:t xml:space="preserve"> để các doanh nghiệp kế toán, kiểm toán nước ngoài xem xét trong quá trình cung cấp dịch vụ kế toán, kiểm toán;</w:t>
            </w:r>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lastRenderedPageBreak/>
              <w:t xml:space="preserve">- Các doanh nghiệp kế toán, kiểm toán nước ngoài </w:t>
            </w:r>
            <w:r w:rsidRPr="009F59E8">
              <w:rPr>
                <w:rFonts w:eastAsia="Times New Roman" w:cs="Times New Roman"/>
                <w:i/>
                <w:iCs/>
                <w:sz w:val="24"/>
                <w:szCs w:val="24"/>
              </w:rPr>
              <w:t>có thể cử người sang Việt Nam để thu thập thông tin, số liệu</w:t>
            </w:r>
            <w:r w:rsidRPr="009F59E8">
              <w:rPr>
                <w:rFonts w:eastAsia="Times New Roman" w:cs="Times New Roman"/>
                <w:sz w:val="24"/>
                <w:szCs w:val="24"/>
              </w:rPr>
              <w:t xml:space="preserve"> về doanh nghiệp Việt Nam (phương thức cung cấp 4 - hiện diện của tự nhiên nhân), hoặc có thể phối hợp với một doanh nghiệp cung cấp dịch vụ kế toán, kiểm toán trong nước để cùng nhau thực hiện công việc (phương thức 3 - hiện diện thương mại).</w:t>
            </w:r>
          </w:p>
        </w:tc>
      </w:tr>
    </w:tbl>
    <w:p w:rsidR="009F59E8" w:rsidRPr="009F59E8" w:rsidRDefault="009F59E8" w:rsidP="009F59E8">
      <w:pPr>
        <w:spacing w:after="0" w:line="240" w:lineRule="auto"/>
        <w:rPr>
          <w:rFonts w:eastAsia="Times New Roman" w:cs="Times New Roman"/>
          <w:sz w:val="24"/>
          <w:szCs w:val="24"/>
        </w:rPr>
      </w:pPr>
      <w:hyperlink r:id="rId7" w:history="1">
        <w:r w:rsidRPr="009F59E8">
          <w:rPr>
            <w:rFonts w:eastAsia="Times New Roman" w:cs="Times New Roman"/>
            <w:b/>
            <w:bCs/>
            <w:color w:val="0000FF"/>
            <w:sz w:val="24"/>
            <w:szCs w:val="24"/>
            <w:u w:val="single"/>
          </w:rPr>
          <w:t>Nếu doanh nghiệp kế toán, kiểm toán nước ngoài được doanh nghiệp VN thuê thực hiện việc kế toán, kiểm toán thì báo cáo kế toán, kiểm toán đó có được công nhận không?</w:t>
        </w:r>
      </w:hyperlink>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Việt Nam đã cam kết cho phép các doanh nghiệp kế toán, kiểm toán nước ngoài (không có hiện diện thương mại tại Việt Nam) được cung cấp dịch vụ kế toán, kiểm toán cho các doanh nghiệp, khách hàng tại Việt Nam.</w:t>
      </w:r>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 xml:space="preserve">Do đó, báo cáo kế toán, kiểm toán của các doanh nghiệp kế toán, kiểm toán nước ngoài </w:t>
      </w:r>
      <w:r w:rsidRPr="009F59E8">
        <w:rPr>
          <w:rFonts w:eastAsia="Times New Roman" w:cs="Times New Roman"/>
          <w:b/>
          <w:bCs/>
          <w:i/>
          <w:iCs/>
          <w:sz w:val="24"/>
          <w:szCs w:val="24"/>
        </w:rPr>
        <w:t>sẽ được công nhận nếu các doanh nghiệp và các báo cáo này đáp ứng các yêu cầu kỹ thuật liên quan</w:t>
      </w:r>
      <w:r w:rsidRPr="009F59E8">
        <w:rPr>
          <w:rFonts w:eastAsia="Times New Roman" w:cs="Times New Roman"/>
          <w:sz w:val="24"/>
          <w:szCs w:val="24"/>
        </w:rPr>
        <w:t>. Một số điều kiện hiện nay như yêu cầu các doanh nghiệp kế toán, kiểm toán nước ngoài phải liên kết với các doanh nghiệp kế toán, kiểm toán trong nước hoặc báo cáo kiểm toán phải được ký bởi người có chứng chỉ chuyên môn do Việt Nam cấp về nguyên tắc sẽ không còn hiệu lực.</w:t>
      </w:r>
    </w:p>
    <w:p w:rsidR="009F59E8" w:rsidRPr="009F59E8" w:rsidRDefault="009F59E8" w:rsidP="009F59E8">
      <w:pPr>
        <w:spacing w:after="0" w:line="240" w:lineRule="auto"/>
        <w:rPr>
          <w:rFonts w:eastAsia="Times New Roman" w:cs="Times New Roman"/>
          <w:sz w:val="24"/>
          <w:szCs w:val="24"/>
        </w:rPr>
      </w:pPr>
      <w:hyperlink r:id="rId8" w:history="1">
        <w:r w:rsidRPr="009F59E8">
          <w:rPr>
            <w:rFonts w:eastAsia="Times New Roman" w:cs="Times New Roman"/>
            <w:b/>
            <w:bCs/>
            <w:color w:val="0000FF"/>
            <w:sz w:val="24"/>
            <w:szCs w:val="24"/>
            <w:u w:val="single"/>
          </w:rPr>
          <w:t>Doanh nghiệp Việt Nam đầu tư và hoạt động ở nước ngoài có được sử dụng dịch vụ doanh nghiệp kế toán, kiểm toán nước ngoài không?</w:t>
        </w:r>
      </w:hyperlink>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Trong Biểu cam kết, việc các doanh nghiệp kế toán, kiểm toán ở nước ngoài cung cấp dịch vụ cho các doanh nghiệp đầu tư và hoạt động ở nước ngoài được xếp vào diện “cung cấp dịch vụ qua phương thức 2” (</w:t>
      </w:r>
      <w:r w:rsidRPr="009F59E8">
        <w:rPr>
          <w:rFonts w:eastAsia="Times New Roman" w:cs="Times New Roman"/>
          <w:b/>
          <w:bCs/>
          <w:i/>
          <w:iCs/>
          <w:sz w:val="24"/>
          <w:szCs w:val="24"/>
        </w:rPr>
        <w:t>tiêu dùng ở nước ngoài</w:t>
      </w:r>
      <w:r w:rsidRPr="009F59E8">
        <w:rPr>
          <w:rFonts w:eastAsia="Times New Roman" w:cs="Times New Roman"/>
          <w:sz w:val="24"/>
          <w:szCs w:val="24"/>
        </w:rPr>
        <w:t>).</w:t>
      </w:r>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 xml:space="preserve">Theo cam kết, Việt Nam </w:t>
      </w:r>
      <w:r w:rsidRPr="009F59E8">
        <w:rPr>
          <w:rFonts w:eastAsia="Times New Roman" w:cs="Times New Roman"/>
          <w:b/>
          <w:bCs/>
          <w:i/>
          <w:iCs/>
          <w:sz w:val="24"/>
          <w:szCs w:val="24"/>
        </w:rPr>
        <w:t>không hạn chế</w:t>
      </w:r>
      <w:r w:rsidRPr="009F59E8">
        <w:rPr>
          <w:rFonts w:eastAsia="Times New Roman" w:cs="Times New Roman"/>
          <w:sz w:val="24"/>
          <w:szCs w:val="24"/>
        </w:rPr>
        <w:t xml:space="preserve"> phương thức tiêu dùng ở nước ngoài đối với các dịch vụ kiểm toán, kế toán, ghi sổ kế toán, dịch vụ thuế. Như vậy các doanh nghiệp, cá nhân Việt Nam đầu tư ra nước ngoài và hoạt động ở nước ngoài có quyền thuê của các doanh nghiệp  kế toán, kiểm toán nước ngoài thực hiện dịch vụ này cho mình. </w:t>
      </w:r>
    </w:p>
    <w:p w:rsidR="009F59E8" w:rsidRPr="009F59E8" w:rsidRDefault="009F59E8" w:rsidP="009F59E8">
      <w:pPr>
        <w:spacing w:after="0" w:line="240" w:lineRule="auto"/>
        <w:rPr>
          <w:rFonts w:eastAsia="Times New Roman" w:cs="Times New Roman"/>
          <w:sz w:val="24"/>
          <w:szCs w:val="24"/>
        </w:rPr>
      </w:pPr>
      <w:hyperlink r:id="rId9" w:history="1">
        <w:r w:rsidRPr="009F59E8">
          <w:rPr>
            <w:rFonts w:eastAsia="Times New Roman" w:cs="Times New Roman"/>
            <w:b/>
            <w:bCs/>
            <w:color w:val="0000FF"/>
            <w:sz w:val="24"/>
            <w:szCs w:val="24"/>
            <w:u w:val="single"/>
          </w:rPr>
          <w:t>Đầu tư nước ngoài trong lĩnh vực kế toán, kiểm toán, ghi sổ kế toán có phải chịu hạn chế nào không?</w:t>
        </w:r>
      </w:hyperlink>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 xml:space="preserve">Việt Nam cam kết cho phép thành lập các doanh nghiệp kế toán, kiểm toán, ghi sổ 100% vốn nước ngoài hoặc liên doanh (không hạn chế tỷ lệ tham gia vốn của nhà đầu tư nước ngoài trong liên doanh) ngay từ thời điểm gia nhập WTO (11/1/2007). Như vậy, về cơ bản, việc đầu tư và tham gia thị trường kế toán, kiểm toán, tư vấn thuế ở Việt Nam của các nhà đầu tư nước ngoài là </w:t>
      </w:r>
      <w:r w:rsidRPr="009F59E8">
        <w:rPr>
          <w:rFonts w:eastAsia="Times New Roman" w:cs="Times New Roman"/>
          <w:b/>
          <w:bCs/>
          <w:i/>
          <w:iCs/>
          <w:sz w:val="24"/>
          <w:szCs w:val="24"/>
        </w:rPr>
        <w:t>không hạn chế</w:t>
      </w:r>
      <w:r w:rsidRPr="009F59E8">
        <w:rPr>
          <w:rFonts w:eastAsia="Times New Roman" w:cs="Times New Roman"/>
          <w:sz w:val="24"/>
          <w:szCs w:val="24"/>
        </w:rPr>
        <w:t>.</w:t>
      </w:r>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Trên thực tế, Việt Nam đã cho phép thành lập các doanh nghiệp kế toán, kiểm toán, ghi sổ kế toán 100% vốn nước ngoài hoặc liên doanh từ trước khi Việt Nam gia nhập WTO và đã có những doanh nghiệp được thành lập và hoạt động. Do đó, có thể suy đoán rằng cam kết không hạn chế trong mở cửa thị trường kế toán, kiểm toán, ghi sổ kế toán về cơ bản sẽ không tạo ra tác động lớn so với trước đây.</w:t>
      </w:r>
    </w:p>
    <w:p w:rsidR="009F59E8" w:rsidRPr="009F59E8" w:rsidRDefault="009F59E8" w:rsidP="009F59E8">
      <w:pPr>
        <w:spacing w:after="0" w:line="240" w:lineRule="auto"/>
        <w:rPr>
          <w:rFonts w:eastAsia="Times New Roman" w:cs="Times New Roman"/>
          <w:sz w:val="24"/>
          <w:szCs w:val="24"/>
        </w:rPr>
      </w:pPr>
      <w:hyperlink r:id="rId10" w:history="1">
        <w:r w:rsidRPr="009F59E8">
          <w:rPr>
            <w:rFonts w:eastAsia="Times New Roman" w:cs="Times New Roman"/>
            <w:b/>
            <w:bCs/>
            <w:color w:val="0000FF"/>
            <w:sz w:val="24"/>
            <w:szCs w:val="24"/>
            <w:u w:val="single"/>
          </w:rPr>
          <w:t>Đầu tư nước ngoài trong lĩnh vực cung cấp dịch vụ thuế có phải chịu hạn chế nào không?</w:t>
        </w:r>
      </w:hyperlink>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b/>
          <w:bCs/>
          <w:i/>
          <w:iCs/>
          <w:sz w:val="24"/>
          <w:szCs w:val="24"/>
        </w:rPr>
        <w:lastRenderedPageBreak/>
        <w:t>Về việc thành lập doanh nghiệp FDI</w:t>
      </w:r>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 xml:space="preserve">Theo cam kết về dịch vụ thuế, trong vòng 1 năm kể từ ngày gia nhập (tức là </w:t>
      </w:r>
      <w:r w:rsidRPr="009F59E8">
        <w:rPr>
          <w:rFonts w:eastAsia="Times New Roman" w:cs="Times New Roman"/>
          <w:sz w:val="24"/>
          <w:szCs w:val="24"/>
          <w:u w:val="single"/>
        </w:rPr>
        <w:t>đến 11/1/2008</w:t>
      </w:r>
      <w:r w:rsidRPr="009F59E8">
        <w:rPr>
          <w:rFonts w:eastAsia="Times New Roman" w:cs="Times New Roman"/>
          <w:sz w:val="24"/>
          <w:szCs w:val="24"/>
        </w:rPr>
        <w:t xml:space="preserve">), việc cấp phép hoạt động cho các doanh nghiệp cung cấp dịch vụ thuế có vốn đầu tư nước ngoài sẽ được </w:t>
      </w:r>
      <w:r w:rsidRPr="009F59E8">
        <w:rPr>
          <w:rFonts w:eastAsia="Times New Roman" w:cs="Times New Roman"/>
          <w:b/>
          <w:bCs/>
          <w:i/>
          <w:iCs/>
          <w:sz w:val="24"/>
          <w:szCs w:val="24"/>
        </w:rPr>
        <w:t>xem xét trong theo từng trường hợp cụ thể</w:t>
      </w:r>
      <w:r w:rsidRPr="009F59E8">
        <w:rPr>
          <w:rFonts w:eastAsia="Times New Roman" w:cs="Times New Roman"/>
          <w:sz w:val="24"/>
          <w:szCs w:val="24"/>
        </w:rPr>
        <w:t xml:space="preserve"> và số lượng các nhà cung cấp dịch vụ (tức là các doanh nghiệp cung cấp dịch vụ thuế có vốn đầu tư nước ngoài) sẽ do Bộ Tài chính quyết định căn cứ vào nhu cầu và tình hình phát triển của thị trường Việt Nam. Một trong các tiêu chí để cấp phép là </w:t>
      </w:r>
      <w:r w:rsidRPr="009F59E8">
        <w:rPr>
          <w:rFonts w:eastAsia="Times New Roman" w:cs="Times New Roman"/>
          <w:i/>
          <w:iCs/>
          <w:sz w:val="24"/>
          <w:szCs w:val="24"/>
        </w:rPr>
        <w:t xml:space="preserve">số lượng các doanh nghiệp đang hoạt động trên thị trường Việt Nam </w:t>
      </w:r>
      <w:r w:rsidRPr="009F59E8">
        <w:rPr>
          <w:rFonts w:eastAsia="Times New Roman" w:cs="Times New Roman"/>
          <w:sz w:val="24"/>
          <w:szCs w:val="24"/>
        </w:rPr>
        <w:t>(nhiều hay ít, đã đủ so với nhu cầu chưa...).</w:t>
      </w:r>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 xml:space="preserve">Từ </w:t>
      </w:r>
      <w:r w:rsidRPr="009F59E8">
        <w:rPr>
          <w:rFonts w:eastAsia="Times New Roman" w:cs="Times New Roman"/>
          <w:b/>
          <w:bCs/>
          <w:sz w:val="24"/>
          <w:szCs w:val="24"/>
        </w:rPr>
        <w:t>11/1/2008</w:t>
      </w:r>
      <w:r w:rsidRPr="009F59E8">
        <w:rPr>
          <w:rFonts w:eastAsia="Times New Roman" w:cs="Times New Roman"/>
          <w:sz w:val="24"/>
          <w:szCs w:val="24"/>
        </w:rPr>
        <w:t xml:space="preserve">, việc thành lập các doanh nghiệp cung cấp dịch vụ thuế có vốn đầu tư nước ngoài (liên doanh hoặc 100% vốn) sẽ </w:t>
      </w:r>
      <w:r w:rsidRPr="009F59E8">
        <w:rPr>
          <w:rFonts w:eastAsia="Times New Roman" w:cs="Times New Roman"/>
          <w:b/>
          <w:bCs/>
          <w:i/>
          <w:iCs/>
          <w:sz w:val="24"/>
          <w:szCs w:val="24"/>
        </w:rPr>
        <w:t>không phải chịu các hạn chế này</w:t>
      </w:r>
      <w:r w:rsidRPr="009F59E8">
        <w:rPr>
          <w:rFonts w:eastAsia="Times New Roman" w:cs="Times New Roman"/>
          <w:sz w:val="24"/>
          <w:szCs w:val="24"/>
        </w:rPr>
        <w:t>.</w:t>
      </w:r>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b/>
          <w:bCs/>
          <w:i/>
          <w:iCs/>
          <w:sz w:val="24"/>
          <w:szCs w:val="24"/>
        </w:rPr>
        <w:t>Về hoạt động của doanh nghiệp FDI</w:t>
      </w:r>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 xml:space="preserve">Theo cam kết, Việt Nam có quyền đặt </w:t>
      </w:r>
      <w:r w:rsidRPr="009F59E8">
        <w:rPr>
          <w:rFonts w:eastAsia="Times New Roman" w:cs="Times New Roman"/>
          <w:b/>
          <w:bCs/>
          <w:sz w:val="24"/>
          <w:szCs w:val="24"/>
        </w:rPr>
        <w:t>điều kiện đối với hoạt động</w:t>
      </w:r>
      <w:r w:rsidRPr="009F59E8">
        <w:rPr>
          <w:rFonts w:eastAsia="Times New Roman" w:cs="Times New Roman"/>
          <w:sz w:val="24"/>
          <w:szCs w:val="24"/>
        </w:rPr>
        <w:t xml:space="preserve"> của doanh nghiệp cung cấp dịch vụ thuế có vốn đầu tư nước ngoài ở mức như sau:</w:t>
      </w:r>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 xml:space="preserve">- </w:t>
      </w:r>
      <w:r w:rsidRPr="009F59E8">
        <w:rPr>
          <w:rFonts w:eastAsia="Times New Roman" w:cs="Times New Roman"/>
          <w:b/>
          <w:bCs/>
          <w:i/>
          <w:iCs/>
          <w:sz w:val="24"/>
          <w:szCs w:val="24"/>
        </w:rPr>
        <w:t xml:space="preserve">Trước 2008, </w:t>
      </w:r>
      <w:r w:rsidRPr="009F59E8">
        <w:rPr>
          <w:rFonts w:eastAsia="Times New Roman" w:cs="Times New Roman"/>
          <w:sz w:val="24"/>
          <w:szCs w:val="24"/>
        </w:rPr>
        <w:t>các doanh nghiệp này</w:t>
      </w:r>
      <w:r w:rsidRPr="009F59E8">
        <w:rPr>
          <w:rFonts w:eastAsia="Times New Roman" w:cs="Times New Roman"/>
          <w:b/>
          <w:bCs/>
          <w:i/>
          <w:iCs/>
          <w:sz w:val="24"/>
          <w:szCs w:val="24"/>
        </w:rPr>
        <w:t xml:space="preserve"> chỉ được cung cấp dịch vụ cho các doanh nghiệp có vốn đầu tư nước ngoài và các dự án có sự tài trợ của nước ngoài tại Việt Nam</w:t>
      </w:r>
      <w:r w:rsidRPr="009F59E8">
        <w:rPr>
          <w:rFonts w:eastAsia="Times New Roman" w:cs="Times New Roman"/>
          <w:sz w:val="24"/>
          <w:szCs w:val="24"/>
        </w:rPr>
        <w:t>;</w:t>
      </w:r>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 Từ 1/1/2008, hoạt động của doanh nghiệp dịch vụ thuế FDI sẽ không phải chịu các hạn chế về hoạt động (tức là họ có thể cung cấp dịch vụ cho tất cả các đối tượng, bao gồm cả các doanh nghiệp Nhà nước, tại Việt Nam).</w:t>
      </w:r>
    </w:p>
    <w:p w:rsidR="009F59E8" w:rsidRPr="009F59E8" w:rsidRDefault="009F59E8" w:rsidP="009F59E8">
      <w:pPr>
        <w:spacing w:after="0" w:line="240" w:lineRule="auto"/>
        <w:rPr>
          <w:rFonts w:eastAsia="Times New Roman" w:cs="Times New Roman"/>
          <w:sz w:val="24"/>
          <w:szCs w:val="24"/>
        </w:rPr>
      </w:pPr>
      <w:hyperlink r:id="rId11" w:history="1">
        <w:r w:rsidRPr="009F59E8">
          <w:rPr>
            <w:rFonts w:eastAsia="Times New Roman" w:cs="Times New Roman"/>
            <w:b/>
            <w:bCs/>
            <w:color w:val="0000FF"/>
            <w:sz w:val="24"/>
            <w:szCs w:val="24"/>
            <w:u w:val="single"/>
          </w:rPr>
          <w:t>Việt Nam có thể đặt ra các điều kiện khác đối với các doanh nghiệp kế toán, kiểm toán, dịch vụ thuế FDI ngoài các điều kiện đã nêu trong cam kết không?</w:t>
        </w:r>
      </w:hyperlink>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 xml:space="preserve">Theo cam kết, Việt Nam được đặt ra các </w:t>
      </w:r>
      <w:r w:rsidRPr="009F59E8">
        <w:rPr>
          <w:rFonts w:eastAsia="Times New Roman" w:cs="Times New Roman"/>
          <w:b/>
          <w:bCs/>
          <w:i/>
          <w:iCs/>
          <w:sz w:val="24"/>
          <w:szCs w:val="24"/>
        </w:rPr>
        <w:t>điều kiện về số lượng</w:t>
      </w:r>
      <w:r w:rsidRPr="009F59E8">
        <w:rPr>
          <w:rFonts w:eastAsia="Times New Roman" w:cs="Times New Roman"/>
          <w:sz w:val="24"/>
          <w:szCs w:val="24"/>
        </w:rPr>
        <w:t xml:space="preserve"> các doanh nghiệp cung cấp dịch vụ, diện khách hàng đối với doanh nghiệp cung cấp </w:t>
      </w:r>
      <w:r w:rsidRPr="009F59E8">
        <w:rPr>
          <w:rFonts w:eastAsia="Times New Roman" w:cs="Times New Roman"/>
          <w:b/>
          <w:bCs/>
          <w:i/>
          <w:iCs/>
          <w:sz w:val="24"/>
          <w:szCs w:val="24"/>
        </w:rPr>
        <w:t>dịch vụ thuế</w:t>
      </w:r>
      <w:r w:rsidRPr="009F59E8">
        <w:rPr>
          <w:rFonts w:eastAsia="Times New Roman" w:cs="Times New Roman"/>
          <w:sz w:val="24"/>
          <w:szCs w:val="24"/>
        </w:rPr>
        <w:t xml:space="preserve"> có vốn đầu tư nước ngoài cho đến 11/1/2008 (các điều kiện này không áp dụng với các doanh nghiệp kiểm toán, kế toán).</w:t>
      </w:r>
    </w:p>
    <w:p w:rsidR="009F59E8" w:rsidRPr="009F59E8" w:rsidRDefault="009F59E8" w:rsidP="009F59E8">
      <w:pPr>
        <w:spacing w:before="100" w:beforeAutospacing="1" w:after="100" w:afterAutospacing="1" w:line="240" w:lineRule="auto"/>
        <w:rPr>
          <w:rFonts w:eastAsia="Times New Roman" w:cs="Times New Roman"/>
          <w:sz w:val="24"/>
          <w:szCs w:val="24"/>
        </w:rPr>
      </w:pPr>
      <w:r w:rsidRPr="009F59E8">
        <w:rPr>
          <w:rFonts w:eastAsia="Times New Roman" w:cs="Times New Roman"/>
          <w:sz w:val="24"/>
          <w:szCs w:val="24"/>
        </w:rPr>
        <w:t xml:space="preserve">Tuy nhiên, về nguyên tắc, ngoài các điều kiện trên, các cơ quan quản lý Nhà nước Việt Nam vẫn hoàn toàn có thể đưa ra </w:t>
      </w:r>
      <w:r w:rsidRPr="009F59E8">
        <w:rPr>
          <w:rFonts w:eastAsia="Times New Roman" w:cs="Times New Roman"/>
          <w:b/>
          <w:bCs/>
          <w:i/>
          <w:iCs/>
          <w:sz w:val="24"/>
          <w:szCs w:val="24"/>
        </w:rPr>
        <w:t>các điều kiện khác đối với nhà đầu tư để đảm bảo năng lực, trình độ chuyên môn, khả năng kiến thức</w:t>
      </w:r>
      <w:r w:rsidRPr="009F59E8">
        <w:rPr>
          <w:rFonts w:eastAsia="Times New Roman" w:cs="Times New Roman"/>
          <w:sz w:val="24"/>
          <w:szCs w:val="24"/>
        </w:rPr>
        <w:t xml:space="preserve"> của các doanh nghiệp này khi thành lập. Những điều kiện này phải đảm bảo không phân biệt đối xử giữa nhà đầu tư đến từ các nước khác nhau và không phân biệt đối xử giữa nhà đầu tư trong nước và nhà đầu tư nước ngoài.</w:t>
      </w:r>
    </w:p>
    <w:p w:rsidR="00DA5CDF" w:rsidRDefault="00DA5CDF"/>
    <w:sectPr w:rsidR="00DA5CDF" w:rsidSect="00DA5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376FA"/>
    <w:multiLevelType w:val="multilevel"/>
    <w:tmpl w:val="35B8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F59E8"/>
    <w:rsid w:val="00777BF2"/>
    <w:rsid w:val="00861F6F"/>
    <w:rsid w:val="009F59E8"/>
    <w:rsid w:val="00DA5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F"/>
  </w:style>
  <w:style w:type="paragraph" w:styleId="Heading1">
    <w:name w:val="heading 1"/>
    <w:basedOn w:val="Normal"/>
    <w:link w:val="Heading1Char"/>
    <w:uiPriority w:val="9"/>
    <w:qFormat/>
    <w:rsid w:val="009F59E8"/>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9E8"/>
    <w:rPr>
      <w:rFonts w:eastAsia="Times New Roman" w:cs="Times New Roman"/>
      <w:b/>
      <w:bCs/>
      <w:kern w:val="36"/>
      <w:sz w:val="48"/>
      <w:szCs w:val="48"/>
    </w:rPr>
  </w:style>
  <w:style w:type="character" w:styleId="Strong">
    <w:name w:val="Strong"/>
    <w:basedOn w:val="DefaultParagraphFont"/>
    <w:uiPriority w:val="22"/>
    <w:qFormat/>
    <w:rsid w:val="009F59E8"/>
    <w:rPr>
      <w:b/>
      <w:bCs/>
    </w:rPr>
  </w:style>
  <w:style w:type="paragraph" w:styleId="NormalWeb">
    <w:name w:val="Normal (Web)"/>
    <w:basedOn w:val="Normal"/>
    <w:uiPriority w:val="99"/>
    <w:unhideWhenUsed/>
    <w:rsid w:val="009F59E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F59E8"/>
    <w:rPr>
      <w:i/>
      <w:iCs/>
    </w:rPr>
  </w:style>
</w:styles>
</file>

<file path=word/webSettings.xml><?xml version="1.0" encoding="utf-8"?>
<w:webSettings xmlns:r="http://schemas.openxmlformats.org/officeDocument/2006/relationships" xmlns:w="http://schemas.openxmlformats.org/wordprocessingml/2006/main">
  <w:divs>
    <w:div w:id="1397708444">
      <w:bodyDiv w:val="1"/>
      <w:marLeft w:val="0"/>
      <w:marRight w:val="0"/>
      <w:marTop w:val="0"/>
      <w:marBottom w:val="0"/>
      <w:divBdr>
        <w:top w:val="none" w:sz="0" w:space="0" w:color="auto"/>
        <w:left w:val="none" w:sz="0" w:space="0" w:color="auto"/>
        <w:bottom w:val="none" w:sz="0" w:space="0" w:color="auto"/>
        <w:right w:val="none" w:sz="0" w:space="0" w:color="auto"/>
      </w:divBdr>
      <w:divsChild>
        <w:div w:id="1955551367">
          <w:marLeft w:val="0"/>
          <w:marRight w:val="0"/>
          <w:marTop w:val="0"/>
          <w:marBottom w:val="0"/>
          <w:divBdr>
            <w:top w:val="none" w:sz="0" w:space="0" w:color="auto"/>
            <w:left w:val="none" w:sz="0" w:space="0" w:color="auto"/>
            <w:bottom w:val="none" w:sz="0" w:space="0" w:color="auto"/>
            <w:right w:val="none" w:sz="0" w:space="0" w:color="auto"/>
          </w:divBdr>
          <w:divsChild>
            <w:div w:id="48725477">
              <w:marLeft w:val="0"/>
              <w:marRight w:val="0"/>
              <w:marTop w:val="0"/>
              <w:marBottom w:val="0"/>
              <w:divBdr>
                <w:top w:val="none" w:sz="0" w:space="0" w:color="auto"/>
                <w:left w:val="none" w:sz="0" w:space="0" w:color="auto"/>
                <w:bottom w:val="none" w:sz="0" w:space="0" w:color="auto"/>
                <w:right w:val="none" w:sz="0" w:space="0" w:color="auto"/>
              </w:divBdr>
              <w:divsChild>
                <w:div w:id="1249731297">
                  <w:marLeft w:val="0"/>
                  <w:marRight w:val="0"/>
                  <w:marTop w:val="0"/>
                  <w:marBottom w:val="0"/>
                  <w:divBdr>
                    <w:top w:val="none" w:sz="0" w:space="0" w:color="auto"/>
                    <w:left w:val="none" w:sz="0" w:space="0" w:color="auto"/>
                    <w:bottom w:val="none" w:sz="0" w:space="0" w:color="auto"/>
                    <w:right w:val="none" w:sz="0" w:space="0" w:color="auto"/>
                  </w:divBdr>
                </w:div>
              </w:divsChild>
            </w:div>
            <w:div w:id="830369326">
              <w:marLeft w:val="0"/>
              <w:marRight w:val="0"/>
              <w:marTop w:val="0"/>
              <w:marBottom w:val="0"/>
              <w:divBdr>
                <w:top w:val="none" w:sz="0" w:space="0" w:color="auto"/>
                <w:left w:val="none" w:sz="0" w:space="0" w:color="auto"/>
                <w:bottom w:val="none" w:sz="0" w:space="0" w:color="auto"/>
                <w:right w:val="none" w:sz="0" w:space="0" w:color="auto"/>
              </w:divBdr>
              <w:divsChild>
                <w:div w:id="1518151147">
                  <w:marLeft w:val="0"/>
                  <w:marRight w:val="0"/>
                  <w:marTop w:val="0"/>
                  <w:marBottom w:val="0"/>
                  <w:divBdr>
                    <w:top w:val="none" w:sz="0" w:space="0" w:color="auto"/>
                    <w:left w:val="none" w:sz="0" w:space="0" w:color="auto"/>
                    <w:bottom w:val="none" w:sz="0" w:space="0" w:color="auto"/>
                    <w:right w:val="none" w:sz="0" w:space="0" w:color="auto"/>
                  </w:divBdr>
                </w:div>
                <w:div w:id="2085762906">
                  <w:marLeft w:val="0"/>
                  <w:marRight w:val="0"/>
                  <w:marTop w:val="0"/>
                  <w:marBottom w:val="0"/>
                  <w:divBdr>
                    <w:top w:val="none" w:sz="0" w:space="0" w:color="auto"/>
                    <w:left w:val="none" w:sz="0" w:space="0" w:color="auto"/>
                    <w:bottom w:val="none" w:sz="0" w:space="0" w:color="auto"/>
                    <w:right w:val="none" w:sz="0" w:space="0" w:color="auto"/>
                  </w:divBdr>
                </w:div>
                <w:div w:id="69546160">
                  <w:marLeft w:val="0"/>
                  <w:marRight w:val="0"/>
                  <w:marTop w:val="0"/>
                  <w:marBottom w:val="0"/>
                  <w:divBdr>
                    <w:top w:val="none" w:sz="0" w:space="0" w:color="auto"/>
                    <w:left w:val="none" w:sz="0" w:space="0" w:color="auto"/>
                    <w:bottom w:val="none" w:sz="0" w:space="0" w:color="auto"/>
                    <w:right w:val="none" w:sz="0" w:space="0" w:color="auto"/>
                  </w:divBdr>
                </w:div>
                <w:div w:id="1881629315">
                  <w:marLeft w:val="0"/>
                  <w:marRight w:val="0"/>
                  <w:marTop w:val="0"/>
                  <w:marBottom w:val="0"/>
                  <w:divBdr>
                    <w:top w:val="none" w:sz="0" w:space="0" w:color="auto"/>
                    <w:left w:val="none" w:sz="0" w:space="0" w:color="auto"/>
                    <w:bottom w:val="none" w:sz="0" w:space="0" w:color="auto"/>
                    <w:right w:val="none" w:sz="0" w:space="0" w:color="auto"/>
                  </w:divBdr>
                </w:div>
                <w:div w:id="1774938162">
                  <w:marLeft w:val="0"/>
                  <w:marRight w:val="0"/>
                  <w:marTop w:val="0"/>
                  <w:marBottom w:val="0"/>
                  <w:divBdr>
                    <w:top w:val="none" w:sz="0" w:space="0" w:color="auto"/>
                    <w:left w:val="none" w:sz="0" w:space="0" w:color="auto"/>
                    <w:bottom w:val="none" w:sz="0" w:space="0" w:color="auto"/>
                    <w:right w:val="none" w:sz="0" w:space="0" w:color="auto"/>
                  </w:divBdr>
                </w:div>
                <w:div w:id="1850022503">
                  <w:marLeft w:val="0"/>
                  <w:marRight w:val="0"/>
                  <w:marTop w:val="0"/>
                  <w:marBottom w:val="0"/>
                  <w:divBdr>
                    <w:top w:val="none" w:sz="0" w:space="0" w:color="auto"/>
                    <w:left w:val="none" w:sz="0" w:space="0" w:color="auto"/>
                    <w:bottom w:val="none" w:sz="0" w:space="0" w:color="auto"/>
                    <w:right w:val="none" w:sz="0" w:space="0" w:color="auto"/>
                  </w:divBdr>
                </w:div>
                <w:div w:id="1975020159">
                  <w:marLeft w:val="0"/>
                  <w:marRight w:val="0"/>
                  <w:marTop w:val="0"/>
                  <w:marBottom w:val="0"/>
                  <w:divBdr>
                    <w:top w:val="none" w:sz="0" w:space="0" w:color="auto"/>
                    <w:left w:val="none" w:sz="0" w:space="0" w:color="auto"/>
                    <w:bottom w:val="none" w:sz="0" w:space="0" w:color="auto"/>
                    <w:right w:val="none" w:sz="0" w:space="0" w:color="auto"/>
                  </w:divBdr>
                </w:div>
                <w:div w:id="592514038">
                  <w:marLeft w:val="0"/>
                  <w:marRight w:val="0"/>
                  <w:marTop w:val="0"/>
                  <w:marBottom w:val="0"/>
                  <w:divBdr>
                    <w:top w:val="none" w:sz="0" w:space="0" w:color="auto"/>
                    <w:left w:val="none" w:sz="0" w:space="0" w:color="auto"/>
                    <w:bottom w:val="none" w:sz="0" w:space="0" w:color="auto"/>
                    <w:right w:val="none" w:sz="0" w:space="0" w:color="auto"/>
                  </w:divBdr>
                </w:div>
                <w:div w:id="1587112229">
                  <w:marLeft w:val="0"/>
                  <w:marRight w:val="0"/>
                  <w:marTop w:val="0"/>
                  <w:marBottom w:val="0"/>
                  <w:divBdr>
                    <w:top w:val="none" w:sz="0" w:space="0" w:color="auto"/>
                    <w:left w:val="none" w:sz="0" w:space="0" w:color="auto"/>
                    <w:bottom w:val="none" w:sz="0" w:space="0" w:color="auto"/>
                    <w:right w:val="none" w:sz="0" w:space="0" w:color="auto"/>
                  </w:divBdr>
                </w:div>
                <w:div w:id="1719933631">
                  <w:marLeft w:val="0"/>
                  <w:marRight w:val="0"/>
                  <w:marTop w:val="0"/>
                  <w:marBottom w:val="0"/>
                  <w:divBdr>
                    <w:top w:val="none" w:sz="0" w:space="0" w:color="auto"/>
                    <w:left w:val="none" w:sz="0" w:space="0" w:color="auto"/>
                    <w:bottom w:val="none" w:sz="0" w:space="0" w:color="auto"/>
                    <w:right w:val="none" w:sz="0" w:space="0" w:color="auto"/>
                  </w:divBdr>
                </w:div>
                <w:div w:id="616301948">
                  <w:marLeft w:val="0"/>
                  <w:marRight w:val="0"/>
                  <w:marTop w:val="0"/>
                  <w:marBottom w:val="0"/>
                  <w:divBdr>
                    <w:top w:val="none" w:sz="0" w:space="0" w:color="auto"/>
                    <w:left w:val="none" w:sz="0" w:space="0" w:color="auto"/>
                    <w:bottom w:val="none" w:sz="0" w:space="0" w:color="auto"/>
                    <w:right w:val="none" w:sz="0" w:space="0" w:color="auto"/>
                  </w:divBdr>
                </w:div>
                <w:div w:id="1927617504">
                  <w:marLeft w:val="0"/>
                  <w:marRight w:val="0"/>
                  <w:marTop w:val="0"/>
                  <w:marBottom w:val="0"/>
                  <w:divBdr>
                    <w:top w:val="none" w:sz="0" w:space="0" w:color="auto"/>
                    <w:left w:val="none" w:sz="0" w:space="0" w:color="auto"/>
                    <w:bottom w:val="none" w:sz="0" w:space="0" w:color="auto"/>
                    <w:right w:val="none" w:sz="0" w:space="0" w:color="auto"/>
                  </w:divBdr>
                </w:div>
                <w:div w:id="51346715">
                  <w:marLeft w:val="0"/>
                  <w:marRight w:val="0"/>
                  <w:marTop w:val="0"/>
                  <w:marBottom w:val="0"/>
                  <w:divBdr>
                    <w:top w:val="none" w:sz="0" w:space="0" w:color="auto"/>
                    <w:left w:val="none" w:sz="0" w:space="0" w:color="auto"/>
                    <w:bottom w:val="none" w:sz="0" w:space="0" w:color="auto"/>
                    <w:right w:val="none" w:sz="0" w:space="0" w:color="auto"/>
                  </w:divBdr>
                </w:div>
                <w:div w:id="2633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ungtamwto.vn/wto/cam-ket-mo-cua-thi-truong-dich-vu-ke-toan-kiem-toan-dich-vu-th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ungtamwto.vn/wto/cam-ket-mo-cua-thi-truong-dich-vu-ke-toan-kiem-toan-dich-vu-th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ungtamwto.vn/wto/cam-ket-mo-cua-thi-truong-dich-vu-ke-toan-kiem-toan-dich-vu-thue" TargetMode="External"/><Relationship Id="rId11" Type="http://schemas.openxmlformats.org/officeDocument/2006/relationships/hyperlink" Target="http://www.trungtamwto.vn/wto/cam-ket-mo-cua-thi-truong-dich-vu-ke-toan-kiem-toan-dich-vu-thue" TargetMode="External"/><Relationship Id="rId5" Type="http://schemas.openxmlformats.org/officeDocument/2006/relationships/hyperlink" Target="http://www.trungtamwto.vn/wto/cam-ket-mo-cua-thi-truong-dich-vu-ke-toan-kiem-toan-dich-vu-thue" TargetMode="External"/><Relationship Id="rId10" Type="http://schemas.openxmlformats.org/officeDocument/2006/relationships/hyperlink" Target="http://www.trungtamwto.vn/wto/cam-ket-mo-cua-thi-truong-dich-vu-ke-toan-kiem-toan-dich-vu-thue" TargetMode="External"/><Relationship Id="rId4" Type="http://schemas.openxmlformats.org/officeDocument/2006/relationships/webSettings" Target="webSettings.xml"/><Relationship Id="rId9" Type="http://schemas.openxmlformats.org/officeDocument/2006/relationships/hyperlink" Target="http://www.trungtamwto.vn/wto/cam-ket-mo-cua-thi-truong-dich-vu-ke-toan-kiem-toan-dich-vu-th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1176</Words>
  <Characters>6704</Characters>
  <Application>Microsoft Office Word</Application>
  <DocSecurity>0</DocSecurity>
  <Lines>55</Lines>
  <Paragraphs>15</Paragraphs>
  <ScaleCrop>false</ScaleCrop>
  <Company>TRAN DOAN COMPUTER</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vynguyenhoangthanh</dc:creator>
  <cp:keywords/>
  <dc:description/>
  <cp:lastModifiedBy>vynguyenhoangthanh</cp:lastModifiedBy>
  <cp:revision>1</cp:revision>
  <dcterms:created xsi:type="dcterms:W3CDTF">2015-07-23T08:59:00Z</dcterms:created>
  <dcterms:modified xsi:type="dcterms:W3CDTF">2015-07-23T08:59:00Z</dcterms:modified>
</cp:coreProperties>
</file>