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7E" w:rsidRPr="0081137E" w:rsidRDefault="0081137E" w:rsidP="0081137E">
      <w:pPr>
        <w:spacing w:before="100" w:beforeAutospacing="1" w:after="100" w:afterAutospacing="1" w:line="240" w:lineRule="auto"/>
        <w:outlineLvl w:val="0"/>
        <w:rPr>
          <w:rFonts w:eastAsia="Times New Roman" w:cs="Times New Roman"/>
          <w:b/>
          <w:bCs/>
          <w:kern w:val="36"/>
          <w:sz w:val="48"/>
          <w:szCs w:val="48"/>
        </w:rPr>
      </w:pPr>
      <w:r w:rsidRPr="0081137E">
        <w:rPr>
          <w:rFonts w:eastAsia="Times New Roman" w:cs="Times New Roman"/>
          <w:b/>
          <w:bCs/>
          <w:kern w:val="36"/>
          <w:sz w:val="48"/>
          <w:szCs w:val="48"/>
        </w:rPr>
        <w:t>Cam Kết Mở Cửa Thị Trường Dịch Vụ Chứng Khoán</w:t>
      </w:r>
    </w:p>
    <w:p w:rsidR="0081137E" w:rsidRPr="0081137E" w:rsidRDefault="0081137E" w:rsidP="0081137E">
      <w:pPr>
        <w:spacing w:after="0" w:line="240" w:lineRule="auto"/>
        <w:rPr>
          <w:rFonts w:eastAsia="Times New Roman" w:cs="Times New Roman"/>
          <w:sz w:val="24"/>
          <w:szCs w:val="24"/>
        </w:rPr>
      </w:pPr>
      <w:r w:rsidRPr="0081137E">
        <w:rPr>
          <w:rFonts w:eastAsia="Times New Roman" w:cs="Times New Roman"/>
          <w:sz w:val="24"/>
          <w:szCs w:val="24"/>
        </w:rPr>
        <w:t xml:space="preserve">27/01/2010 </w:t>
      </w:r>
    </w:p>
    <w:p w:rsidR="0081137E" w:rsidRPr="0081137E" w:rsidRDefault="0081137E" w:rsidP="0081137E">
      <w:pPr>
        <w:spacing w:after="0" w:line="240" w:lineRule="auto"/>
        <w:rPr>
          <w:rFonts w:eastAsia="Times New Roman" w:cs="Times New Roman"/>
          <w:sz w:val="24"/>
          <w:szCs w:val="24"/>
        </w:rPr>
      </w:pPr>
      <w:hyperlink r:id="rId5" w:history="1">
        <w:r w:rsidRPr="0081137E">
          <w:rPr>
            <w:rFonts w:eastAsia="Times New Roman" w:cs="Times New Roman"/>
            <w:b/>
            <w:bCs/>
            <w:color w:val="0000FF"/>
            <w:sz w:val="24"/>
            <w:szCs w:val="24"/>
            <w:u w:val="single"/>
          </w:rPr>
          <w:t>Việt Nam cam kết mở cửa những dịch vụ chứng khoán nào?</w:t>
        </w:r>
      </w:hyperlink>
    </w:p>
    <w:p w:rsidR="0081137E" w:rsidRPr="0081137E" w:rsidRDefault="0081137E" w:rsidP="0081137E">
      <w:p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Liên quan đến các dịch vụ chứng khoán, Việt Nam cam kết cho phép nhà đầu tư nước ngoài tham gia cung cấp các dịch vụ chứng khoán sau tại Việt Nam:</w:t>
      </w:r>
    </w:p>
    <w:p w:rsidR="0081137E" w:rsidRPr="0081137E" w:rsidRDefault="0081137E" w:rsidP="0081137E">
      <w:pPr>
        <w:numPr>
          <w:ilvl w:val="0"/>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i/>
          <w:iCs/>
          <w:sz w:val="24"/>
          <w:szCs w:val="24"/>
        </w:rPr>
        <w:t>Giao dịch</w:t>
      </w:r>
      <w:r w:rsidRPr="0081137E">
        <w:rPr>
          <w:rFonts w:eastAsia="Times New Roman" w:cs="Times New Roman"/>
          <w:sz w:val="24"/>
          <w:szCs w:val="24"/>
        </w:rPr>
        <w:t xml:space="preserve"> cho tài khoản của mình hoặc tài khoản của khách hàng tại sở giao dịch chứng khoán, thị trường giao dịch trực tiếp (OTC) hay các thị trường khác </w:t>
      </w:r>
      <w:r w:rsidRPr="0081137E">
        <w:rPr>
          <w:rFonts w:eastAsia="Times New Roman" w:cs="Times New Roman"/>
          <w:i/>
          <w:iCs/>
          <w:sz w:val="24"/>
          <w:szCs w:val="24"/>
        </w:rPr>
        <w:t>những sản phẩm sau</w:t>
      </w:r>
      <w:r w:rsidRPr="0081137E">
        <w:rPr>
          <w:rFonts w:eastAsia="Times New Roman" w:cs="Times New Roman"/>
          <w:sz w:val="24"/>
          <w:szCs w:val="24"/>
        </w:rPr>
        <w:t xml:space="preserve">: </w:t>
      </w:r>
    </w:p>
    <w:p w:rsidR="0081137E" w:rsidRPr="0081137E" w:rsidRDefault="0081137E" w:rsidP="0081137E">
      <w:pPr>
        <w:numPr>
          <w:ilvl w:val="1"/>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Các công cụ phái sinh, bao gồm cả hợp đồng tương lai và hợp đồng quyền lựa chọn;</w:t>
      </w:r>
    </w:p>
    <w:p w:rsidR="0081137E" w:rsidRPr="0081137E" w:rsidRDefault="0081137E" w:rsidP="0081137E">
      <w:pPr>
        <w:numPr>
          <w:ilvl w:val="1"/>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Các chứng khoán có thể chuyển nhượng;</w:t>
      </w:r>
    </w:p>
    <w:p w:rsidR="0081137E" w:rsidRPr="0081137E" w:rsidRDefault="0081137E" w:rsidP="0081137E">
      <w:pPr>
        <w:numPr>
          <w:ilvl w:val="1"/>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 xml:space="preserve">Các công cụ có thể chuyển nhượng khác và các tài sản tài chính,  trừ vàng khối. </w:t>
      </w:r>
    </w:p>
    <w:p w:rsidR="0081137E" w:rsidRPr="0081137E" w:rsidRDefault="0081137E" w:rsidP="0081137E">
      <w:pPr>
        <w:spacing w:before="100" w:beforeAutospacing="1" w:after="100" w:afterAutospacing="1" w:line="240" w:lineRule="auto"/>
        <w:ind w:left="720"/>
        <w:rPr>
          <w:rFonts w:eastAsia="Times New Roman" w:cs="Times New Roman"/>
          <w:sz w:val="24"/>
          <w:szCs w:val="24"/>
        </w:rPr>
      </w:pPr>
      <w:r w:rsidRPr="0081137E">
        <w:rPr>
          <w:rFonts w:eastAsia="Times New Roman" w:cs="Times New Roman"/>
          <w:sz w:val="24"/>
          <w:szCs w:val="24"/>
        </w:rPr>
        <w:t>       (Các dịch vụ này bao gồm cả nghiệp vụ môi giới)</w:t>
      </w:r>
    </w:p>
    <w:p w:rsidR="0081137E" w:rsidRPr="0081137E" w:rsidRDefault="0081137E" w:rsidP="0081137E">
      <w:pPr>
        <w:numPr>
          <w:ilvl w:val="0"/>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i/>
          <w:iCs/>
          <w:sz w:val="24"/>
          <w:szCs w:val="24"/>
        </w:rPr>
        <w:t>Tham gia vào các đợt phát hành mọi loại chứng khoán,</w:t>
      </w:r>
      <w:r w:rsidRPr="0081137E">
        <w:rPr>
          <w:rFonts w:eastAsia="Times New Roman" w:cs="Times New Roman"/>
          <w:sz w:val="24"/>
          <w:szCs w:val="24"/>
        </w:rPr>
        <w:t xml:space="preserve"> bao gồm bảo lãnh phát hành, và làm đại lý bán (chào bán ra công chúng hoặc chào bán riêng), cung cấp các dịch vụ liên quan đến các đợt phát hành đó);</w:t>
      </w:r>
    </w:p>
    <w:p w:rsidR="0081137E" w:rsidRPr="0081137E" w:rsidRDefault="0081137E" w:rsidP="0081137E">
      <w:pPr>
        <w:numPr>
          <w:ilvl w:val="0"/>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i/>
          <w:iCs/>
          <w:sz w:val="24"/>
          <w:szCs w:val="24"/>
        </w:rPr>
        <w:t>Quản lý tài sản</w:t>
      </w:r>
      <w:r w:rsidRPr="0081137E">
        <w:rPr>
          <w:rFonts w:eastAsia="Times New Roman" w:cs="Times New Roman"/>
          <w:sz w:val="24"/>
          <w:szCs w:val="24"/>
        </w:rPr>
        <w:t xml:space="preserve"> (bao gồm quản lý danh mục đầu tư, mọi hình thức quản lý đầu tư tập thể, quản lý quỹ hưu trí, các dịch vụ lưu ký và tín thác);</w:t>
      </w:r>
    </w:p>
    <w:p w:rsidR="0081137E" w:rsidRPr="0081137E" w:rsidRDefault="0081137E" w:rsidP="0081137E">
      <w:pPr>
        <w:numPr>
          <w:ilvl w:val="0"/>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 xml:space="preserve">Các </w:t>
      </w:r>
      <w:r w:rsidRPr="0081137E">
        <w:rPr>
          <w:rFonts w:eastAsia="Times New Roman" w:cs="Times New Roman"/>
          <w:i/>
          <w:iCs/>
          <w:sz w:val="24"/>
          <w:szCs w:val="24"/>
        </w:rPr>
        <w:t>dịch vụ thanh toán và thanh toán bù trừ chứng khoán, các công cụ phái sinh và các sản phẩm liên quan đến chứng khoán</w:t>
      </w:r>
      <w:r w:rsidRPr="0081137E">
        <w:rPr>
          <w:rFonts w:eastAsia="Times New Roman" w:cs="Times New Roman"/>
          <w:sz w:val="24"/>
          <w:szCs w:val="24"/>
        </w:rPr>
        <w:t xml:space="preserve"> khác;</w:t>
      </w:r>
    </w:p>
    <w:p w:rsidR="0081137E" w:rsidRPr="0081137E" w:rsidRDefault="0081137E" w:rsidP="0081137E">
      <w:pPr>
        <w:numPr>
          <w:ilvl w:val="0"/>
          <w:numId w:val="1"/>
        </w:numPr>
        <w:spacing w:before="100" w:beforeAutospacing="1" w:after="100" w:afterAutospacing="1" w:line="240" w:lineRule="auto"/>
        <w:rPr>
          <w:rFonts w:eastAsia="Times New Roman" w:cs="Times New Roman"/>
          <w:sz w:val="24"/>
          <w:szCs w:val="24"/>
        </w:rPr>
      </w:pPr>
      <w:r w:rsidRPr="0081137E">
        <w:rPr>
          <w:rFonts w:eastAsia="Times New Roman" w:cs="Times New Roman"/>
          <w:i/>
          <w:iCs/>
          <w:sz w:val="24"/>
          <w:szCs w:val="24"/>
        </w:rPr>
        <w:t>Cung cấp và chuyển thông tin tài chính, các phần mềm liên quan</w:t>
      </w:r>
      <w:r w:rsidRPr="0081137E">
        <w:rPr>
          <w:rFonts w:eastAsia="Times New Roman" w:cs="Times New Roman"/>
          <w:sz w:val="24"/>
          <w:szCs w:val="24"/>
        </w:rPr>
        <w:t xml:space="preserve"> của các nhà cung cấp dịch vụ chứng khoán.  </w:t>
      </w:r>
    </w:p>
    <w:p w:rsidR="0081137E" w:rsidRPr="0081137E" w:rsidRDefault="0081137E" w:rsidP="0081137E">
      <w:pPr>
        <w:spacing w:after="0" w:line="240" w:lineRule="auto"/>
        <w:rPr>
          <w:rFonts w:eastAsia="Times New Roman" w:cs="Times New Roman"/>
          <w:sz w:val="24"/>
          <w:szCs w:val="24"/>
        </w:rPr>
      </w:pPr>
      <w:hyperlink r:id="rId6" w:history="1">
        <w:r w:rsidRPr="0081137E">
          <w:rPr>
            <w:rFonts w:eastAsia="Times New Roman" w:cs="Times New Roman"/>
            <w:b/>
            <w:bCs/>
            <w:color w:val="0000FF"/>
            <w:sz w:val="24"/>
            <w:szCs w:val="24"/>
            <w:u w:val="single"/>
          </w:rPr>
          <w:t>Các công ty chứng khoán nước ngoài, các nhà đầu tư nước ngoài có thể cung cấp dịch vụ chứng khoán ở Việt Nam dưới hình thức nào?</w:t>
        </w:r>
      </w:hyperlink>
    </w:p>
    <w:p w:rsidR="0081137E" w:rsidRPr="0081137E" w:rsidRDefault="0081137E" w:rsidP="0081137E">
      <w:p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Việt Nam cam kết cho phép các công ty chứng khoán nước ngoài, các nhà đầu tư nước ngoài hoạt động chứng khoán ở Việt Nam dưới các hình thức và điều kiện sau đây:</w:t>
      </w:r>
    </w:p>
    <w:p w:rsidR="0081137E" w:rsidRPr="0081137E" w:rsidRDefault="0081137E" w:rsidP="0081137E">
      <w:pPr>
        <w:numPr>
          <w:ilvl w:val="0"/>
          <w:numId w:val="2"/>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 xml:space="preserve">Văn phòng đại diện (với điều kiện các văn phòng đại diện không được thực hiện các hoạt động kinh doanh sinh lời trực tiếp); </w:t>
      </w:r>
    </w:p>
    <w:p w:rsidR="0081137E" w:rsidRPr="0081137E" w:rsidRDefault="0081137E" w:rsidP="0081137E">
      <w:pPr>
        <w:numPr>
          <w:ilvl w:val="0"/>
          <w:numId w:val="2"/>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Liên doanh với đối tác Việt Nam (với điều kiện tỷ lệ vốn góp của phía nước ngoài không vượt quá 49%);</w:t>
      </w:r>
    </w:p>
    <w:p w:rsidR="0081137E" w:rsidRPr="0081137E" w:rsidRDefault="0081137E" w:rsidP="0081137E">
      <w:pPr>
        <w:numPr>
          <w:ilvl w:val="0"/>
          <w:numId w:val="2"/>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 xml:space="preserve">Doanh nghiệp chứng khoán 100% vốn nước ngoài (kể từ 11/1/2012); </w:t>
      </w:r>
    </w:p>
    <w:p w:rsidR="0081137E" w:rsidRPr="0081137E" w:rsidRDefault="0081137E" w:rsidP="0081137E">
      <w:pPr>
        <w:numPr>
          <w:ilvl w:val="0"/>
          <w:numId w:val="2"/>
        </w:numPr>
        <w:spacing w:before="100" w:beforeAutospacing="1" w:after="100" w:afterAutospacing="1" w:line="240" w:lineRule="auto"/>
        <w:rPr>
          <w:rFonts w:eastAsia="Times New Roman" w:cs="Times New Roman"/>
          <w:sz w:val="24"/>
          <w:szCs w:val="24"/>
        </w:rPr>
      </w:pPr>
      <w:r w:rsidRPr="0081137E">
        <w:rPr>
          <w:rFonts w:eastAsia="Times New Roman" w:cs="Times New Roman"/>
          <w:sz w:val="24"/>
          <w:szCs w:val="24"/>
        </w:rPr>
        <w:t xml:space="preserve">Chi nhánh của công ty chứng khoán nước ngoài (kể từ 11/1/2012 và kèm theo điều kiện hoạt động của chi nhánh chỉ giới hạn ở cung cấp các dịch vụ quản lý tài sản, thanh toán và thanh toán bù trừ chứng khoán, cung cấp và chuyển thông tin tài chính, các phần mềm liên quan.       </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9726F"/>
    <w:multiLevelType w:val="multilevel"/>
    <w:tmpl w:val="7CEE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672938"/>
    <w:multiLevelType w:val="multilevel"/>
    <w:tmpl w:val="F15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137E"/>
    <w:rsid w:val="00777BF2"/>
    <w:rsid w:val="0081137E"/>
    <w:rsid w:val="00861F6F"/>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81137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37E"/>
    <w:rPr>
      <w:rFonts w:eastAsia="Times New Roman" w:cs="Times New Roman"/>
      <w:b/>
      <w:bCs/>
      <w:kern w:val="36"/>
      <w:sz w:val="48"/>
      <w:szCs w:val="48"/>
    </w:rPr>
  </w:style>
  <w:style w:type="character" w:styleId="Strong">
    <w:name w:val="Strong"/>
    <w:basedOn w:val="DefaultParagraphFont"/>
    <w:uiPriority w:val="22"/>
    <w:qFormat/>
    <w:rsid w:val="0081137E"/>
    <w:rPr>
      <w:b/>
      <w:bCs/>
    </w:rPr>
  </w:style>
  <w:style w:type="paragraph" w:styleId="NormalWeb">
    <w:name w:val="Normal (Web)"/>
    <w:basedOn w:val="Normal"/>
    <w:uiPriority w:val="99"/>
    <w:semiHidden/>
    <w:unhideWhenUsed/>
    <w:rsid w:val="0081137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1137E"/>
    <w:rPr>
      <w:i/>
      <w:iCs/>
    </w:rPr>
  </w:style>
</w:styles>
</file>

<file path=word/webSettings.xml><?xml version="1.0" encoding="utf-8"?>
<w:webSettings xmlns:r="http://schemas.openxmlformats.org/officeDocument/2006/relationships" xmlns:w="http://schemas.openxmlformats.org/wordprocessingml/2006/main">
  <w:divs>
    <w:div w:id="2033913520">
      <w:bodyDiv w:val="1"/>
      <w:marLeft w:val="0"/>
      <w:marRight w:val="0"/>
      <w:marTop w:val="0"/>
      <w:marBottom w:val="0"/>
      <w:divBdr>
        <w:top w:val="none" w:sz="0" w:space="0" w:color="auto"/>
        <w:left w:val="none" w:sz="0" w:space="0" w:color="auto"/>
        <w:bottom w:val="none" w:sz="0" w:space="0" w:color="auto"/>
        <w:right w:val="none" w:sz="0" w:space="0" w:color="auto"/>
      </w:divBdr>
      <w:divsChild>
        <w:div w:id="1355570829">
          <w:marLeft w:val="0"/>
          <w:marRight w:val="0"/>
          <w:marTop w:val="0"/>
          <w:marBottom w:val="0"/>
          <w:divBdr>
            <w:top w:val="none" w:sz="0" w:space="0" w:color="auto"/>
            <w:left w:val="none" w:sz="0" w:space="0" w:color="auto"/>
            <w:bottom w:val="none" w:sz="0" w:space="0" w:color="auto"/>
            <w:right w:val="none" w:sz="0" w:space="0" w:color="auto"/>
          </w:divBdr>
          <w:divsChild>
            <w:div w:id="861699622">
              <w:marLeft w:val="0"/>
              <w:marRight w:val="0"/>
              <w:marTop w:val="0"/>
              <w:marBottom w:val="0"/>
              <w:divBdr>
                <w:top w:val="none" w:sz="0" w:space="0" w:color="auto"/>
                <w:left w:val="none" w:sz="0" w:space="0" w:color="auto"/>
                <w:bottom w:val="none" w:sz="0" w:space="0" w:color="auto"/>
                <w:right w:val="none" w:sz="0" w:space="0" w:color="auto"/>
              </w:divBdr>
              <w:divsChild>
                <w:div w:id="761952252">
                  <w:marLeft w:val="0"/>
                  <w:marRight w:val="0"/>
                  <w:marTop w:val="0"/>
                  <w:marBottom w:val="0"/>
                  <w:divBdr>
                    <w:top w:val="none" w:sz="0" w:space="0" w:color="auto"/>
                    <w:left w:val="none" w:sz="0" w:space="0" w:color="auto"/>
                    <w:bottom w:val="none" w:sz="0" w:space="0" w:color="auto"/>
                    <w:right w:val="none" w:sz="0" w:space="0" w:color="auto"/>
                  </w:divBdr>
                </w:div>
              </w:divsChild>
            </w:div>
            <w:div w:id="333070789">
              <w:marLeft w:val="0"/>
              <w:marRight w:val="0"/>
              <w:marTop w:val="0"/>
              <w:marBottom w:val="0"/>
              <w:divBdr>
                <w:top w:val="none" w:sz="0" w:space="0" w:color="auto"/>
                <w:left w:val="none" w:sz="0" w:space="0" w:color="auto"/>
                <w:bottom w:val="none" w:sz="0" w:space="0" w:color="auto"/>
                <w:right w:val="none" w:sz="0" w:space="0" w:color="auto"/>
              </w:divBdr>
              <w:divsChild>
                <w:div w:id="531116924">
                  <w:marLeft w:val="0"/>
                  <w:marRight w:val="0"/>
                  <w:marTop w:val="0"/>
                  <w:marBottom w:val="0"/>
                  <w:divBdr>
                    <w:top w:val="none" w:sz="0" w:space="0" w:color="auto"/>
                    <w:left w:val="none" w:sz="0" w:space="0" w:color="auto"/>
                    <w:bottom w:val="none" w:sz="0" w:space="0" w:color="auto"/>
                    <w:right w:val="none" w:sz="0" w:space="0" w:color="auto"/>
                  </w:divBdr>
                </w:div>
                <w:div w:id="332883110">
                  <w:marLeft w:val="0"/>
                  <w:marRight w:val="0"/>
                  <w:marTop w:val="0"/>
                  <w:marBottom w:val="0"/>
                  <w:divBdr>
                    <w:top w:val="none" w:sz="0" w:space="0" w:color="auto"/>
                    <w:left w:val="none" w:sz="0" w:space="0" w:color="auto"/>
                    <w:bottom w:val="none" w:sz="0" w:space="0" w:color="auto"/>
                    <w:right w:val="none" w:sz="0" w:space="0" w:color="auto"/>
                  </w:divBdr>
                </w:div>
                <w:div w:id="1696737218">
                  <w:marLeft w:val="0"/>
                  <w:marRight w:val="0"/>
                  <w:marTop w:val="0"/>
                  <w:marBottom w:val="0"/>
                  <w:divBdr>
                    <w:top w:val="none" w:sz="0" w:space="0" w:color="auto"/>
                    <w:left w:val="none" w:sz="0" w:space="0" w:color="auto"/>
                    <w:bottom w:val="none" w:sz="0" w:space="0" w:color="auto"/>
                    <w:right w:val="none" w:sz="0" w:space="0" w:color="auto"/>
                  </w:divBdr>
                </w:div>
                <w:div w:id="1271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ngtamwto.vn/wto/cam-ket-mo-cua-thi-truong-dich-vu-chung-khoan" TargetMode="External"/><Relationship Id="rId5" Type="http://schemas.openxmlformats.org/officeDocument/2006/relationships/hyperlink" Target="http://www.trungtamwto.vn/wto/cam-ket-mo-cua-thi-truong-dich-vu-chung-kho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Company>TRAN DOAN COMPUTER</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2015-07-23T08:59:00Z</dcterms:created>
  <dcterms:modified xsi:type="dcterms:W3CDTF">2015-07-23T08:59:00Z</dcterms:modified>
</cp:coreProperties>
</file>