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F8C" w:rsidRPr="00EF0F8C" w:rsidRDefault="00EF0F8C" w:rsidP="00EF0F8C">
      <w:pPr>
        <w:spacing w:before="100" w:beforeAutospacing="1" w:after="100" w:afterAutospacing="1" w:line="240" w:lineRule="auto"/>
        <w:outlineLvl w:val="0"/>
        <w:rPr>
          <w:rFonts w:eastAsia="Times New Roman" w:cs="Times New Roman"/>
          <w:b/>
          <w:bCs/>
          <w:kern w:val="36"/>
          <w:sz w:val="48"/>
          <w:szCs w:val="48"/>
        </w:rPr>
      </w:pPr>
      <w:r w:rsidRPr="00EF0F8C">
        <w:rPr>
          <w:rFonts w:eastAsia="Times New Roman" w:cs="Times New Roman"/>
          <w:b/>
          <w:bCs/>
          <w:kern w:val="36"/>
          <w:sz w:val="48"/>
          <w:szCs w:val="48"/>
        </w:rPr>
        <w:t>Tóm tắt các Cam kết của Việt Nam trong Khu vực Mậu dịch Tự do ASEAN – Trung Quốc (ACFTA)</w:t>
      </w:r>
    </w:p>
    <w:p w:rsidR="00EF0F8C" w:rsidRPr="00EF0F8C" w:rsidRDefault="00EF0F8C" w:rsidP="00EF0F8C">
      <w:pPr>
        <w:spacing w:before="100" w:beforeAutospacing="1" w:after="100" w:afterAutospacing="1" w:line="240" w:lineRule="auto"/>
        <w:rPr>
          <w:rFonts w:eastAsia="Times New Roman" w:cs="Times New Roman"/>
          <w:sz w:val="24"/>
          <w:szCs w:val="24"/>
        </w:rPr>
      </w:pPr>
      <w:r w:rsidRPr="00EF0F8C">
        <w:rPr>
          <w:rFonts w:eastAsia="Times New Roman" w:cs="Times New Roman"/>
          <w:b/>
          <w:bCs/>
          <w:sz w:val="24"/>
          <w:szCs w:val="24"/>
        </w:rPr>
        <w:t>Cam kết trong lĩnh vực thương mại hàng hóa</w:t>
      </w:r>
    </w:p>
    <w:p w:rsidR="00EF0F8C" w:rsidRPr="00EF0F8C" w:rsidRDefault="00EF0F8C" w:rsidP="00EF0F8C">
      <w:pPr>
        <w:spacing w:before="100" w:beforeAutospacing="1" w:after="100" w:afterAutospacing="1" w:line="240" w:lineRule="auto"/>
        <w:rPr>
          <w:rFonts w:eastAsia="Times New Roman" w:cs="Times New Roman"/>
          <w:sz w:val="24"/>
          <w:szCs w:val="24"/>
        </w:rPr>
      </w:pPr>
      <w:r w:rsidRPr="00EF0F8C">
        <w:rPr>
          <w:rFonts w:eastAsia="Times New Roman" w:cs="Times New Roman"/>
          <w:sz w:val="24"/>
          <w:szCs w:val="24"/>
        </w:rPr>
        <w:t>Nội dung cam kết cắt giảm thuế của Việt Nam trong khuôn khổ Khu vực Mậu dịch Tự do ASEAN-Trung Quốc (ACFTA) được điều chỉnh bởi Hiệp định Khung về Hợp tác Kinh tế toàn diện ASEAN-Trung Quốc được các nhà lãnh đạo Thượng đỉnh ASEAN và Trung Quốc ký ngày 4/11/2002 tại Campuchia (gọi tắt là Hiệp định Khung), Hiệp định Thương mại Hàng hoá ASEAN-Trung Quốc được ký kết ngày 29/11/2004 tại Lào, và Biên bản ghi nhớ giữa Việt Nam-Trung Quốc ký ngày 18/7/2005 tại Trung Quốc.  Theo đó, việc cắt giảm và tự do hóa thuế quan của Việt Nam trong ACFTA được chia thành 3 danh mục hàng hoá: Thu hoạch sớm, thông thường và nhạy cảm, cụ thể như sau:</w:t>
      </w:r>
    </w:p>
    <w:p w:rsidR="00EF0F8C" w:rsidRPr="00EF0F8C" w:rsidRDefault="00EF0F8C" w:rsidP="00EF0F8C">
      <w:pPr>
        <w:spacing w:before="100" w:beforeAutospacing="1" w:after="100" w:afterAutospacing="1" w:line="240" w:lineRule="auto"/>
        <w:rPr>
          <w:rFonts w:eastAsia="Times New Roman" w:cs="Times New Roman"/>
          <w:sz w:val="24"/>
          <w:szCs w:val="24"/>
        </w:rPr>
      </w:pPr>
      <w:r w:rsidRPr="00EF0F8C">
        <w:rPr>
          <w:rFonts w:eastAsia="Times New Roman" w:cs="Times New Roman"/>
          <w:b/>
          <w:bCs/>
          <w:i/>
          <w:iCs/>
          <w:sz w:val="24"/>
          <w:szCs w:val="24"/>
        </w:rPr>
        <w:t>Chương trình thu hoạch sớm (EHP):</w:t>
      </w:r>
      <w:r w:rsidRPr="00EF0F8C">
        <w:rPr>
          <w:rFonts w:eastAsia="Times New Roman" w:cs="Times New Roman"/>
          <w:b/>
          <w:bCs/>
          <w:sz w:val="24"/>
          <w:szCs w:val="24"/>
        </w:rPr>
        <w:t> </w:t>
      </w:r>
      <w:r w:rsidRPr="00EF0F8C">
        <w:rPr>
          <w:rFonts w:eastAsia="Times New Roman" w:cs="Times New Roman"/>
          <w:sz w:val="24"/>
          <w:szCs w:val="24"/>
        </w:rPr>
        <w:t xml:space="preserve"> gồm hầu hết các mặt hàng nông sản và thuỷ sản từ Chương 1-8 của Biểu thuế nhập khẩu. Các mặt hàng hiện đã được thực hiện giảm thuế từ năm 2004 và xoá bỏ thuế vào 2008 theo lộ trình sau:</w:t>
      </w:r>
      <w:r w:rsidRPr="00EF0F8C">
        <w:rPr>
          <w:rFonts w:eastAsia="Times New Roman" w:cs="Times New Roman"/>
          <w:b/>
          <w:bCs/>
          <w:sz w:val="24"/>
          <w:szCs w:val="24"/>
        </w:rPr>
        <w:t> </w:t>
      </w:r>
    </w:p>
    <w:p w:rsidR="00EF0F8C" w:rsidRPr="00EF0F8C" w:rsidRDefault="00EF0F8C" w:rsidP="00EF0F8C">
      <w:pPr>
        <w:spacing w:before="100" w:beforeAutospacing="1" w:after="100" w:afterAutospacing="1" w:line="240" w:lineRule="auto"/>
        <w:rPr>
          <w:rFonts w:eastAsia="Times New Roman" w:cs="Times New Roman"/>
          <w:sz w:val="24"/>
          <w:szCs w:val="24"/>
        </w:rPr>
      </w:pPr>
      <w:r w:rsidRPr="00EF0F8C">
        <w:rPr>
          <w:rFonts w:eastAsia="Times New Roman" w:cs="Times New Roman"/>
          <w:b/>
          <w:bCs/>
          <w:sz w:val="24"/>
          <w:szCs w:val="24"/>
        </w:rPr>
        <w:t>Bảng 1: Lộ trình giảm thuế của Danh mục EHP</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330"/>
        <w:gridCol w:w="1305"/>
        <w:gridCol w:w="1185"/>
        <w:gridCol w:w="1185"/>
        <w:gridCol w:w="1185"/>
        <w:gridCol w:w="1125"/>
      </w:tblGrid>
      <w:tr w:rsidR="00EF0F8C" w:rsidRPr="00EF0F8C" w:rsidTr="00EF0F8C">
        <w:trPr>
          <w:tblCellSpacing w:w="0" w:type="dxa"/>
        </w:trPr>
        <w:tc>
          <w:tcPr>
            <w:tcW w:w="3330" w:type="dxa"/>
            <w:vMerge w:val="restart"/>
            <w:tcBorders>
              <w:top w:val="outset" w:sz="6" w:space="0" w:color="auto"/>
              <w:left w:val="outset" w:sz="6" w:space="0" w:color="auto"/>
              <w:bottom w:val="outset" w:sz="6" w:space="0" w:color="auto"/>
              <w:right w:val="outset" w:sz="6" w:space="0" w:color="auto"/>
            </w:tcBorders>
            <w:vAlign w:val="center"/>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b/>
                <w:bCs/>
                <w:sz w:val="24"/>
                <w:szCs w:val="24"/>
              </w:rPr>
              <w:t>Thuế suất MFN</w:t>
            </w:r>
          </w:p>
        </w:tc>
        <w:tc>
          <w:tcPr>
            <w:tcW w:w="5985" w:type="dxa"/>
            <w:gridSpan w:val="5"/>
            <w:tcBorders>
              <w:top w:val="outset" w:sz="6" w:space="0" w:color="auto"/>
              <w:left w:val="outset" w:sz="6" w:space="0" w:color="auto"/>
              <w:bottom w:val="outset" w:sz="6" w:space="0" w:color="auto"/>
              <w:right w:val="outset" w:sz="6" w:space="0" w:color="auto"/>
            </w:tcBorders>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b/>
                <w:bCs/>
                <w:sz w:val="24"/>
                <w:szCs w:val="24"/>
              </w:rPr>
              <w:t>Mức thuế EHP qua các năm</w:t>
            </w:r>
          </w:p>
        </w:tc>
      </w:tr>
      <w:tr w:rsidR="00EF0F8C" w:rsidRPr="00EF0F8C" w:rsidTr="00EF0F8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F0F8C" w:rsidRPr="00EF0F8C" w:rsidRDefault="00EF0F8C" w:rsidP="00EF0F8C">
            <w:pPr>
              <w:spacing w:after="0" w:line="240" w:lineRule="auto"/>
              <w:rPr>
                <w:rFonts w:eastAsia="Times New Roman" w:cs="Times New Roman"/>
                <w:sz w:val="24"/>
                <w:szCs w:val="24"/>
              </w:rPr>
            </w:pPr>
          </w:p>
        </w:tc>
        <w:tc>
          <w:tcPr>
            <w:tcW w:w="1305" w:type="dxa"/>
            <w:tcBorders>
              <w:top w:val="outset" w:sz="6" w:space="0" w:color="auto"/>
              <w:left w:val="outset" w:sz="6" w:space="0" w:color="auto"/>
              <w:bottom w:val="outset" w:sz="6" w:space="0" w:color="auto"/>
              <w:right w:val="outset" w:sz="6" w:space="0" w:color="auto"/>
            </w:tcBorders>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b/>
                <w:bCs/>
                <w:sz w:val="24"/>
                <w:szCs w:val="24"/>
              </w:rPr>
              <w:t>2004</w:t>
            </w:r>
          </w:p>
        </w:tc>
        <w:tc>
          <w:tcPr>
            <w:tcW w:w="1185" w:type="dxa"/>
            <w:tcBorders>
              <w:top w:val="outset" w:sz="6" w:space="0" w:color="auto"/>
              <w:left w:val="outset" w:sz="6" w:space="0" w:color="auto"/>
              <w:bottom w:val="outset" w:sz="6" w:space="0" w:color="auto"/>
              <w:right w:val="outset" w:sz="6" w:space="0" w:color="auto"/>
            </w:tcBorders>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b/>
                <w:bCs/>
                <w:sz w:val="24"/>
                <w:szCs w:val="24"/>
              </w:rPr>
              <w:t>2005</w:t>
            </w:r>
          </w:p>
        </w:tc>
        <w:tc>
          <w:tcPr>
            <w:tcW w:w="1185" w:type="dxa"/>
            <w:tcBorders>
              <w:top w:val="outset" w:sz="6" w:space="0" w:color="auto"/>
              <w:left w:val="outset" w:sz="6" w:space="0" w:color="auto"/>
              <w:bottom w:val="outset" w:sz="6" w:space="0" w:color="auto"/>
              <w:right w:val="outset" w:sz="6" w:space="0" w:color="auto"/>
            </w:tcBorders>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b/>
                <w:bCs/>
                <w:sz w:val="24"/>
                <w:szCs w:val="24"/>
              </w:rPr>
              <w:t>2006</w:t>
            </w:r>
          </w:p>
        </w:tc>
        <w:tc>
          <w:tcPr>
            <w:tcW w:w="1185" w:type="dxa"/>
            <w:tcBorders>
              <w:top w:val="outset" w:sz="6" w:space="0" w:color="auto"/>
              <w:left w:val="outset" w:sz="6" w:space="0" w:color="auto"/>
              <w:bottom w:val="outset" w:sz="6" w:space="0" w:color="auto"/>
              <w:right w:val="outset" w:sz="6" w:space="0" w:color="auto"/>
            </w:tcBorders>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b/>
                <w:bCs/>
                <w:sz w:val="24"/>
                <w:szCs w:val="24"/>
              </w:rPr>
              <w:t>2007</w:t>
            </w:r>
          </w:p>
        </w:tc>
        <w:tc>
          <w:tcPr>
            <w:tcW w:w="1095" w:type="dxa"/>
            <w:tcBorders>
              <w:top w:val="outset" w:sz="6" w:space="0" w:color="auto"/>
              <w:left w:val="outset" w:sz="6" w:space="0" w:color="auto"/>
              <w:bottom w:val="outset" w:sz="6" w:space="0" w:color="auto"/>
              <w:right w:val="outset" w:sz="6" w:space="0" w:color="auto"/>
            </w:tcBorders>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b/>
                <w:bCs/>
                <w:sz w:val="24"/>
                <w:szCs w:val="24"/>
              </w:rPr>
              <w:t>2008</w:t>
            </w:r>
          </w:p>
        </w:tc>
      </w:tr>
      <w:tr w:rsidR="00EF0F8C" w:rsidRPr="00EF0F8C" w:rsidTr="00EF0F8C">
        <w:trPr>
          <w:tblCellSpacing w:w="0" w:type="dxa"/>
        </w:trPr>
        <w:tc>
          <w:tcPr>
            <w:tcW w:w="3330" w:type="dxa"/>
            <w:tcBorders>
              <w:top w:val="outset" w:sz="6" w:space="0" w:color="auto"/>
              <w:left w:val="outset" w:sz="6" w:space="0" w:color="auto"/>
              <w:bottom w:val="outset" w:sz="6" w:space="0" w:color="auto"/>
              <w:right w:val="outset" w:sz="6" w:space="0" w:color="auto"/>
            </w:tcBorders>
            <w:hideMark/>
          </w:tcPr>
          <w:p w:rsidR="00EF0F8C" w:rsidRPr="00EF0F8C" w:rsidRDefault="00EF0F8C" w:rsidP="00EF0F8C">
            <w:pPr>
              <w:spacing w:before="100" w:beforeAutospacing="1" w:after="100" w:afterAutospacing="1" w:line="240" w:lineRule="auto"/>
              <w:rPr>
                <w:rFonts w:eastAsia="Times New Roman" w:cs="Times New Roman"/>
                <w:sz w:val="24"/>
                <w:szCs w:val="24"/>
              </w:rPr>
            </w:pPr>
            <w:r w:rsidRPr="00EF0F8C">
              <w:rPr>
                <w:rFonts w:eastAsia="Times New Roman" w:cs="Times New Roman"/>
                <w:sz w:val="24"/>
                <w:szCs w:val="24"/>
              </w:rPr>
              <w:t>MFN ≥ 30%</w:t>
            </w:r>
          </w:p>
        </w:tc>
        <w:tc>
          <w:tcPr>
            <w:tcW w:w="1305" w:type="dxa"/>
            <w:tcBorders>
              <w:top w:val="outset" w:sz="6" w:space="0" w:color="auto"/>
              <w:left w:val="outset" w:sz="6" w:space="0" w:color="auto"/>
              <w:bottom w:val="outset" w:sz="6" w:space="0" w:color="auto"/>
              <w:right w:val="outset" w:sz="6" w:space="0" w:color="auto"/>
            </w:tcBorders>
            <w:vAlign w:val="center"/>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20%</w:t>
            </w:r>
          </w:p>
        </w:tc>
        <w:tc>
          <w:tcPr>
            <w:tcW w:w="1185" w:type="dxa"/>
            <w:tcBorders>
              <w:top w:val="outset" w:sz="6" w:space="0" w:color="auto"/>
              <w:left w:val="outset" w:sz="6" w:space="0" w:color="auto"/>
              <w:bottom w:val="outset" w:sz="6" w:space="0" w:color="auto"/>
              <w:right w:val="outset" w:sz="6" w:space="0" w:color="auto"/>
            </w:tcBorders>
            <w:vAlign w:val="center"/>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15%</w:t>
            </w:r>
          </w:p>
        </w:tc>
        <w:tc>
          <w:tcPr>
            <w:tcW w:w="1185" w:type="dxa"/>
            <w:tcBorders>
              <w:top w:val="outset" w:sz="6" w:space="0" w:color="auto"/>
              <w:left w:val="outset" w:sz="6" w:space="0" w:color="auto"/>
              <w:bottom w:val="outset" w:sz="6" w:space="0" w:color="auto"/>
              <w:right w:val="outset" w:sz="6" w:space="0" w:color="auto"/>
            </w:tcBorders>
            <w:vAlign w:val="center"/>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10%</w:t>
            </w:r>
          </w:p>
        </w:tc>
        <w:tc>
          <w:tcPr>
            <w:tcW w:w="1185" w:type="dxa"/>
            <w:tcBorders>
              <w:top w:val="outset" w:sz="6" w:space="0" w:color="auto"/>
              <w:left w:val="outset" w:sz="6" w:space="0" w:color="auto"/>
              <w:bottom w:val="outset" w:sz="6" w:space="0" w:color="auto"/>
              <w:right w:val="outset" w:sz="6" w:space="0" w:color="auto"/>
            </w:tcBorders>
            <w:vAlign w:val="center"/>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5%</w:t>
            </w:r>
          </w:p>
        </w:tc>
        <w:tc>
          <w:tcPr>
            <w:tcW w:w="1095" w:type="dxa"/>
            <w:tcBorders>
              <w:top w:val="outset" w:sz="6" w:space="0" w:color="auto"/>
              <w:left w:val="outset" w:sz="6" w:space="0" w:color="auto"/>
              <w:bottom w:val="outset" w:sz="6" w:space="0" w:color="auto"/>
              <w:right w:val="outset" w:sz="6" w:space="0" w:color="auto"/>
            </w:tcBorders>
            <w:vAlign w:val="center"/>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0%</w:t>
            </w:r>
          </w:p>
        </w:tc>
      </w:tr>
      <w:tr w:rsidR="00EF0F8C" w:rsidRPr="00EF0F8C" w:rsidTr="00EF0F8C">
        <w:trPr>
          <w:tblCellSpacing w:w="0" w:type="dxa"/>
        </w:trPr>
        <w:tc>
          <w:tcPr>
            <w:tcW w:w="3330" w:type="dxa"/>
            <w:tcBorders>
              <w:top w:val="outset" w:sz="6" w:space="0" w:color="auto"/>
              <w:left w:val="outset" w:sz="6" w:space="0" w:color="auto"/>
              <w:bottom w:val="outset" w:sz="6" w:space="0" w:color="auto"/>
              <w:right w:val="outset" w:sz="6" w:space="0" w:color="auto"/>
            </w:tcBorders>
            <w:hideMark/>
          </w:tcPr>
          <w:p w:rsidR="00EF0F8C" w:rsidRPr="00EF0F8C" w:rsidRDefault="00EF0F8C" w:rsidP="00EF0F8C">
            <w:pPr>
              <w:spacing w:before="100" w:beforeAutospacing="1" w:after="100" w:afterAutospacing="1" w:line="240" w:lineRule="auto"/>
              <w:rPr>
                <w:rFonts w:eastAsia="Times New Roman" w:cs="Times New Roman"/>
                <w:sz w:val="24"/>
                <w:szCs w:val="24"/>
              </w:rPr>
            </w:pPr>
            <w:r w:rsidRPr="00EF0F8C">
              <w:rPr>
                <w:rFonts w:eastAsia="Times New Roman" w:cs="Times New Roman"/>
                <w:sz w:val="24"/>
                <w:szCs w:val="24"/>
              </w:rPr>
              <w:t>15≤ MFN &lt; 30%</w:t>
            </w:r>
          </w:p>
        </w:tc>
        <w:tc>
          <w:tcPr>
            <w:tcW w:w="1305" w:type="dxa"/>
            <w:tcBorders>
              <w:top w:val="outset" w:sz="6" w:space="0" w:color="auto"/>
              <w:left w:val="outset" w:sz="6" w:space="0" w:color="auto"/>
              <w:bottom w:val="outset" w:sz="6" w:space="0" w:color="auto"/>
              <w:right w:val="outset" w:sz="6" w:space="0" w:color="auto"/>
            </w:tcBorders>
            <w:vAlign w:val="center"/>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10%</w:t>
            </w:r>
          </w:p>
        </w:tc>
        <w:tc>
          <w:tcPr>
            <w:tcW w:w="1185" w:type="dxa"/>
            <w:tcBorders>
              <w:top w:val="outset" w:sz="6" w:space="0" w:color="auto"/>
              <w:left w:val="outset" w:sz="6" w:space="0" w:color="auto"/>
              <w:bottom w:val="outset" w:sz="6" w:space="0" w:color="auto"/>
              <w:right w:val="outset" w:sz="6" w:space="0" w:color="auto"/>
            </w:tcBorders>
            <w:vAlign w:val="center"/>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10%</w:t>
            </w:r>
          </w:p>
        </w:tc>
        <w:tc>
          <w:tcPr>
            <w:tcW w:w="1185" w:type="dxa"/>
            <w:tcBorders>
              <w:top w:val="outset" w:sz="6" w:space="0" w:color="auto"/>
              <w:left w:val="outset" w:sz="6" w:space="0" w:color="auto"/>
              <w:bottom w:val="outset" w:sz="6" w:space="0" w:color="auto"/>
              <w:right w:val="outset" w:sz="6" w:space="0" w:color="auto"/>
            </w:tcBorders>
            <w:vAlign w:val="center"/>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5%</w:t>
            </w:r>
          </w:p>
        </w:tc>
        <w:tc>
          <w:tcPr>
            <w:tcW w:w="1185" w:type="dxa"/>
            <w:tcBorders>
              <w:top w:val="outset" w:sz="6" w:space="0" w:color="auto"/>
              <w:left w:val="outset" w:sz="6" w:space="0" w:color="auto"/>
              <w:bottom w:val="outset" w:sz="6" w:space="0" w:color="auto"/>
              <w:right w:val="outset" w:sz="6" w:space="0" w:color="auto"/>
            </w:tcBorders>
            <w:vAlign w:val="center"/>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5%</w:t>
            </w:r>
          </w:p>
        </w:tc>
        <w:tc>
          <w:tcPr>
            <w:tcW w:w="1095" w:type="dxa"/>
            <w:tcBorders>
              <w:top w:val="outset" w:sz="6" w:space="0" w:color="auto"/>
              <w:left w:val="outset" w:sz="6" w:space="0" w:color="auto"/>
              <w:bottom w:val="outset" w:sz="6" w:space="0" w:color="auto"/>
              <w:right w:val="outset" w:sz="6" w:space="0" w:color="auto"/>
            </w:tcBorders>
            <w:vAlign w:val="center"/>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0%</w:t>
            </w:r>
          </w:p>
        </w:tc>
      </w:tr>
      <w:tr w:rsidR="00EF0F8C" w:rsidRPr="00EF0F8C" w:rsidTr="00EF0F8C">
        <w:trPr>
          <w:tblCellSpacing w:w="0" w:type="dxa"/>
        </w:trPr>
        <w:tc>
          <w:tcPr>
            <w:tcW w:w="3330" w:type="dxa"/>
            <w:tcBorders>
              <w:top w:val="outset" w:sz="6" w:space="0" w:color="auto"/>
              <w:left w:val="outset" w:sz="6" w:space="0" w:color="auto"/>
              <w:bottom w:val="outset" w:sz="6" w:space="0" w:color="auto"/>
              <w:right w:val="outset" w:sz="6" w:space="0" w:color="auto"/>
            </w:tcBorders>
            <w:hideMark/>
          </w:tcPr>
          <w:p w:rsidR="00EF0F8C" w:rsidRPr="00EF0F8C" w:rsidRDefault="00EF0F8C" w:rsidP="00EF0F8C">
            <w:pPr>
              <w:spacing w:before="100" w:beforeAutospacing="1" w:after="100" w:afterAutospacing="1" w:line="240" w:lineRule="auto"/>
              <w:rPr>
                <w:rFonts w:eastAsia="Times New Roman" w:cs="Times New Roman"/>
                <w:sz w:val="24"/>
                <w:szCs w:val="24"/>
              </w:rPr>
            </w:pPr>
            <w:r w:rsidRPr="00EF0F8C">
              <w:rPr>
                <w:rFonts w:eastAsia="Times New Roman" w:cs="Times New Roman"/>
                <w:sz w:val="24"/>
                <w:szCs w:val="24"/>
              </w:rPr>
              <w:t>MFN &lt; 15%</w:t>
            </w:r>
          </w:p>
        </w:tc>
        <w:tc>
          <w:tcPr>
            <w:tcW w:w="1305" w:type="dxa"/>
            <w:tcBorders>
              <w:top w:val="outset" w:sz="6" w:space="0" w:color="auto"/>
              <w:left w:val="outset" w:sz="6" w:space="0" w:color="auto"/>
              <w:bottom w:val="outset" w:sz="6" w:space="0" w:color="auto"/>
              <w:right w:val="outset" w:sz="6" w:space="0" w:color="auto"/>
            </w:tcBorders>
            <w:vAlign w:val="center"/>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5%</w:t>
            </w:r>
          </w:p>
        </w:tc>
        <w:tc>
          <w:tcPr>
            <w:tcW w:w="1185" w:type="dxa"/>
            <w:tcBorders>
              <w:top w:val="outset" w:sz="6" w:space="0" w:color="auto"/>
              <w:left w:val="outset" w:sz="6" w:space="0" w:color="auto"/>
              <w:bottom w:val="outset" w:sz="6" w:space="0" w:color="auto"/>
              <w:right w:val="outset" w:sz="6" w:space="0" w:color="auto"/>
            </w:tcBorders>
            <w:vAlign w:val="center"/>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5%</w:t>
            </w:r>
          </w:p>
        </w:tc>
        <w:tc>
          <w:tcPr>
            <w:tcW w:w="1185" w:type="dxa"/>
            <w:tcBorders>
              <w:top w:val="outset" w:sz="6" w:space="0" w:color="auto"/>
              <w:left w:val="outset" w:sz="6" w:space="0" w:color="auto"/>
              <w:bottom w:val="outset" w:sz="6" w:space="0" w:color="auto"/>
              <w:right w:val="outset" w:sz="6" w:space="0" w:color="auto"/>
            </w:tcBorders>
            <w:vAlign w:val="center"/>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0-5%</w:t>
            </w:r>
          </w:p>
        </w:tc>
        <w:tc>
          <w:tcPr>
            <w:tcW w:w="1185" w:type="dxa"/>
            <w:tcBorders>
              <w:top w:val="outset" w:sz="6" w:space="0" w:color="auto"/>
              <w:left w:val="outset" w:sz="6" w:space="0" w:color="auto"/>
              <w:bottom w:val="outset" w:sz="6" w:space="0" w:color="auto"/>
              <w:right w:val="outset" w:sz="6" w:space="0" w:color="auto"/>
            </w:tcBorders>
            <w:vAlign w:val="center"/>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0-5%</w:t>
            </w:r>
          </w:p>
        </w:tc>
        <w:tc>
          <w:tcPr>
            <w:tcW w:w="1095" w:type="dxa"/>
            <w:tcBorders>
              <w:top w:val="outset" w:sz="6" w:space="0" w:color="auto"/>
              <w:left w:val="outset" w:sz="6" w:space="0" w:color="auto"/>
              <w:bottom w:val="outset" w:sz="6" w:space="0" w:color="auto"/>
              <w:right w:val="outset" w:sz="6" w:space="0" w:color="auto"/>
            </w:tcBorders>
            <w:vAlign w:val="center"/>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0%</w:t>
            </w:r>
          </w:p>
        </w:tc>
      </w:tr>
    </w:tbl>
    <w:p w:rsidR="00EF0F8C" w:rsidRPr="00EF0F8C" w:rsidRDefault="00EF0F8C" w:rsidP="00EF0F8C">
      <w:pPr>
        <w:spacing w:before="100" w:beforeAutospacing="1" w:after="100" w:afterAutospacing="1" w:line="240" w:lineRule="auto"/>
        <w:jc w:val="right"/>
        <w:rPr>
          <w:rFonts w:eastAsia="Times New Roman" w:cs="Times New Roman"/>
          <w:sz w:val="24"/>
          <w:szCs w:val="24"/>
        </w:rPr>
      </w:pPr>
      <w:r w:rsidRPr="00EF0F8C">
        <w:rPr>
          <w:rFonts w:eastAsia="Times New Roman" w:cs="Times New Roman"/>
          <w:i/>
          <w:iCs/>
          <w:sz w:val="24"/>
          <w:szCs w:val="24"/>
        </w:rPr>
        <w:t>Nguồn: Hiệp định Khung ASEAN-Trung Quốc</w:t>
      </w:r>
    </w:p>
    <w:p w:rsidR="00EF0F8C" w:rsidRPr="00EF0F8C" w:rsidRDefault="00EF0F8C" w:rsidP="00EF0F8C">
      <w:pPr>
        <w:spacing w:before="100" w:beforeAutospacing="1" w:after="100" w:afterAutospacing="1" w:line="240" w:lineRule="auto"/>
        <w:rPr>
          <w:rFonts w:eastAsia="Times New Roman" w:cs="Times New Roman"/>
          <w:sz w:val="24"/>
          <w:szCs w:val="24"/>
        </w:rPr>
      </w:pPr>
      <w:r w:rsidRPr="00EF0F8C">
        <w:rPr>
          <w:rFonts w:eastAsia="Times New Roman" w:cs="Times New Roman"/>
          <w:b/>
          <w:bCs/>
          <w:i/>
          <w:iCs/>
          <w:sz w:val="24"/>
          <w:szCs w:val="24"/>
        </w:rPr>
        <w:t>Danh mục nhạy cảm (ST):</w:t>
      </w:r>
    </w:p>
    <w:p w:rsidR="00EF0F8C" w:rsidRPr="00EF0F8C" w:rsidRDefault="00EF0F8C" w:rsidP="00EF0F8C">
      <w:pPr>
        <w:spacing w:before="100" w:beforeAutospacing="1" w:after="100" w:afterAutospacing="1" w:line="240" w:lineRule="auto"/>
        <w:rPr>
          <w:rFonts w:eastAsia="Times New Roman" w:cs="Times New Roman"/>
          <w:sz w:val="24"/>
          <w:szCs w:val="24"/>
        </w:rPr>
      </w:pPr>
      <w:r w:rsidRPr="00EF0F8C">
        <w:rPr>
          <w:rFonts w:eastAsia="Times New Roman" w:cs="Times New Roman"/>
          <w:sz w:val="24"/>
          <w:szCs w:val="24"/>
        </w:rPr>
        <w:t>Đối với Việt Nam, Danh mục nhạy cảm của Việt Nam gồm 388 nhóm mặt hàng ở cấp độ HS 6 số (Phụ lục III của Biên bản ghi nhớ), chủ yếu là các sản phẩm như: trứng gia cầm, đường, thuốc lá, động cơ, phương tiện vận tải (ô tô, xe máy), xăng dầu, sắt thép, vật liệu xây dựng, sản phẩm điện tử điện lạnh, giấy, dệt may....Những mặt hàng thuộc Danh mục nhạy cảm không có lịch trình giảm thuế cụ thể theo từng năm nhưng bị giới hạn mức thuế suất cuối cùng và năm cuối cùng thực hiện, cụ thể mô hình giảm thuế Danh mục nhạy cảm của Việt Nam như sau:</w:t>
      </w:r>
    </w:p>
    <w:p w:rsidR="00EF0F8C" w:rsidRPr="00EF0F8C" w:rsidRDefault="00EF0F8C" w:rsidP="00EF0F8C">
      <w:pPr>
        <w:spacing w:before="100" w:beforeAutospacing="1" w:after="100" w:afterAutospacing="1" w:line="240" w:lineRule="auto"/>
        <w:rPr>
          <w:rFonts w:eastAsia="Times New Roman" w:cs="Times New Roman"/>
          <w:sz w:val="24"/>
          <w:szCs w:val="24"/>
        </w:rPr>
      </w:pPr>
      <w:r w:rsidRPr="00EF0F8C">
        <w:rPr>
          <w:rFonts w:eastAsia="Times New Roman" w:cs="Times New Roman"/>
          <w:sz w:val="24"/>
          <w:szCs w:val="24"/>
        </w:rPr>
        <w:t>            - Các mặt hàng nhạy cảm thường (SL): có thuế suất 20% vào 2015 và giảm xuống 0-5% vào 2020.</w:t>
      </w:r>
    </w:p>
    <w:p w:rsidR="00EF0F8C" w:rsidRPr="00EF0F8C" w:rsidRDefault="00EF0F8C" w:rsidP="00EF0F8C">
      <w:pPr>
        <w:spacing w:before="100" w:beforeAutospacing="1" w:after="100" w:afterAutospacing="1" w:line="240" w:lineRule="auto"/>
        <w:rPr>
          <w:rFonts w:eastAsia="Times New Roman" w:cs="Times New Roman"/>
          <w:sz w:val="24"/>
          <w:szCs w:val="24"/>
        </w:rPr>
      </w:pPr>
      <w:r w:rsidRPr="00EF0F8C">
        <w:rPr>
          <w:rFonts w:eastAsia="Times New Roman" w:cs="Times New Roman"/>
          <w:sz w:val="24"/>
          <w:szCs w:val="24"/>
        </w:rPr>
        <w:t>            - Các mặt hàng nhạy cảm cao (HSL): bao gồm không quá 140 nhóm mặt hàng HS 6 số và có thuế suất 50% vào 2018.</w:t>
      </w:r>
    </w:p>
    <w:p w:rsidR="00EF0F8C" w:rsidRPr="00EF0F8C" w:rsidRDefault="00EF0F8C" w:rsidP="00EF0F8C">
      <w:pPr>
        <w:spacing w:before="100" w:beforeAutospacing="1" w:after="100" w:afterAutospacing="1" w:line="240" w:lineRule="auto"/>
        <w:rPr>
          <w:rFonts w:eastAsia="Times New Roman" w:cs="Times New Roman"/>
          <w:sz w:val="24"/>
          <w:szCs w:val="24"/>
        </w:rPr>
      </w:pPr>
      <w:r w:rsidRPr="00EF0F8C">
        <w:rPr>
          <w:rFonts w:eastAsia="Times New Roman" w:cs="Times New Roman"/>
          <w:b/>
          <w:bCs/>
          <w:i/>
          <w:iCs/>
          <w:sz w:val="24"/>
          <w:szCs w:val="24"/>
        </w:rPr>
        <w:lastRenderedPageBreak/>
        <w:t>Danh mục thông thường (các mặt hàng phải cắt giảm và xoá bỏ thuế quan) của Việt Nam</w:t>
      </w:r>
      <w:r w:rsidRPr="00EF0F8C">
        <w:rPr>
          <w:rFonts w:eastAsia="Times New Roman" w:cs="Times New Roman"/>
          <w:b/>
          <w:bCs/>
          <w:sz w:val="24"/>
          <w:szCs w:val="24"/>
        </w:rPr>
        <w:t>:</w:t>
      </w:r>
      <w:r w:rsidRPr="00EF0F8C">
        <w:rPr>
          <w:rFonts w:eastAsia="Times New Roman" w:cs="Times New Roman"/>
          <w:sz w:val="24"/>
          <w:szCs w:val="24"/>
        </w:rPr>
        <w:t xml:space="preserve"> gồm 90% số dòng thuế của biểu thuế nhập khẩu, đã thực hiện giảm thuế từ năm 2006. Lộ trình giảm thuế của danh mục thông thường được thể hiện ở Bảng dưới đây.</w:t>
      </w:r>
    </w:p>
    <w:p w:rsidR="00EF0F8C" w:rsidRPr="00EF0F8C" w:rsidRDefault="00EF0F8C" w:rsidP="00EF0F8C">
      <w:pPr>
        <w:spacing w:before="100" w:beforeAutospacing="1" w:after="100" w:afterAutospacing="1" w:line="240" w:lineRule="auto"/>
        <w:rPr>
          <w:rFonts w:eastAsia="Times New Roman" w:cs="Times New Roman"/>
          <w:sz w:val="24"/>
          <w:szCs w:val="24"/>
        </w:rPr>
      </w:pPr>
      <w:r w:rsidRPr="00EF0F8C">
        <w:rPr>
          <w:rFonts w:eastAsia="Times New Roman" w:cs="Times New Roman"/>
          <w:b/>
          <w:bCs/>
          <w:sz w:val="24"/>
          <w:szCs w:val="24"/>
        </w:rPr>
        <w:t>Bảng 2: Lộ trình giảm thuế của Danh mục thông thường (ACFTA)</w:t>
      </w:r>
    </w:p>
    <w:tbl>
      <w:tblPr>
        <w:tblW w:w="9210" w:type="dxa"/>
        <w:tblCellSpacing w:w="0" w:type="dxa"/>
        <w:tblCellMar>
          <w:left w:w="0" w:type="dxa"/>
          <w:right w:w="0" w:type="dxa"/>
        </w:tblCellMar>
        <w:tblLook w:val="04A0"/>
      </w:tblPr>
      <w:tblGrid>
        <w:gridCol w:w="2978"/>
        <w:gridCol w:w="779"/>
        <w:gridCol w:w="779"/>
        <w:gridCol w:w="779"/>
        <w:gridCol w:w="779"/>
        <w:gridCol w:w="779"/>
        <w:gridCol w:w="779"/>
        <w:gridCol w:w="779"/>
        <w:gridCol w:w="779"/>
      </w:tblGrid>
      <w:tr w:rsidR="00EF0F8C" w:rsidRPr="00EF0F8C" w:rsidTr="00EF0F8C">
        <w:trPr>
          <w:tblCellSpacing w:w="0" w:type="dxa"/>
        </w:trPr>
        <w:tc>
          <w:tcPr>
            <w:tcW w:w="2985" w:type="dxa"/>
            <w:vMerge w:val="restart"/>
            <w:vAlign w:val="center"/>
            <w:hideMark/>
          </w:tcPr>
          <w:p w:rsidR="00EF0F8C" w:rsidRPr="00EF0F8C" w:rsidRDefault="00EF0F8C" w:rsidP="00EF0F8C">
            <w:pPr>
              <w:spacing w:before="100" w:beforeAutospacing="1" w:after="100" w:afterAutospacing="1" w:line="240" w:lineRule="auto"/>
              <w:rPr>
                <w:rFonts w:eastAsia="Times New Roman" w:cs="Times New Roman"/>
                <w:sz w:val="24"/>
                <w:szCs w:val="24"/>
              </w:rPr>
            </w:pPr>
            <w:r w:rsidRPr="00EF0F8C">
              <w:rPr>
                <w:rFonts w:eastAsia="Times New Roman" w:cs="Times New Roman"/>
                <w:b/>
                <w:bCs/>
                <w:sz w:val="24"/>
                <w:szCs w:val="24"/>
              </w:rPr>
              <w:t>X = thuế suất MFN tại thời điểm 1/1/2003</w:t>
            </w:r>
          </w:p>
        </w:tc>
        <w:tc>
          <w:tcPr>
            <w:tcW w:w="6225" w:type="dxa"/>
            <w:gridSpan w:val="8"/>
            <w:vAlign w:val="bottom"/>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b/>
                <w:bCs/>
                <w:sz w:val="24"/>
                <w:szCs w:val="24"/>
              </w:rPr>
              <w:t>Mức thuế suất ACFTA</w:t>
            </w:r>
          </w:p>
        </w:tc>
      </w:tr>
      <w:tr w:rsidR="00EF0F8C" w:rsidRPr="00EF0F8C" w:rsidTr="00EF0F8C">
        <w:trPr>
          <w:tblCellSpacing w:w="0" w:type="dxa"/>
        </w:trPr>
        <w:tc>
          <w:tcPr>
            <w:tcW w:w="0" w:type="auto"/>
            <w:vMerge/>
            <w:vAlign w:val="center"/>
            <w:hideMark/>
          </w:tcPr>
          <w:p w:rsidR="00EF0F8C" w:rsidRPr="00EF0F8C" w:rsidRDefault="00EF0F8C" w:rsidP="00EF0F8C">
            <w:pPr>
              <w:spacing w:after="0" w:line="240" w:lineRule="auto"/>
              <w:rPr>
                <w:rFonts w:eastAsia="Times New Roman" w:cs="Times New Roman"/>
                <w:sz w:val="24"/>
                <w:szCs w:val="24"/>
              </w:rPr>
            </w:pPr>
          </w:p>
        </w:tc>
        <w:tc>
          <w:tcPr>
            <w:tcW w:w="6225" w:type="dxa"/>
            <w:gridSpan w:val="8"/>
            <w:vAlign w:val="bottom"/>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b/>
                <w:bCs/>
                <w:sz w:val="24"/>
                <w:szCs w:val="24"/>
              </w:rPr>
              <w:t>tại thời điểm không muộn hơn ngày 1/1 của năm</w:t>
            </w:r>
          </w:p>
        </w:tc>
      </w:tr>
      <w:tr w:rsidR="00EF0F8C" w:rsidRPr="00EF0F8C" w:rsidTr="00EF0F8C">
        <w:trPr>
          <w:tblCellSpacing w:w="0" w:type="dxa"/>
        </w:trPr>
        <w:tc>
          <w:tcPr>
            <w:tcW w:w="0" w:type="auto"/>
            <w:vMerge/>
            <w:vAlign w:val="center"/>
            <w:hideMark/>
          </w:tcPr>
          <w:p w:rsidR="00EF0F8C" w:rsidRPr="00EF0F8C" w:rsidRDefault="00EF0F8C" w:rsidP="00EF0F8C">
            <w:pPr>
              <w:spacing w:after="0" w:line="240" w:lineRule="auto"/>
              <w:rPr>
                <w:rFonts w:eastAsia="Times New Roman" w:cs="Times New Roman"/>
                <w:sz w:val="24"/>
                <w:szCs w:val="24"/>
              </w:rPr>
            </w:pPr>
          </w:p>
        </w:tc>
        <w:tc>
          <w:tcPr>
            <w:tcW w:w="780" w:type="dxa"/>
            <w:vAlign w:val="bottom"/>
            <w:hideMark/>
          </w:tcPr>
          <w:p w:rsidR="00EF0F8C" w:rsidRPr="00EF0F8C" w:rsidRDefault="00EF0F8C" w:rsidP="00EF0F8C">
            <w:pPr>
              <w:spacing w:before="100" w:beforeAutospacing="1" w:after="100" w:afterAutospacing="1" w:line="240" w:lineRule="auto"/>
              <w:rPr>
                <w:rFonts w:eastAsia="Times New Roman" w:cs="Times New Roman"/>
                <w:sz w:val="24"/>
                <w:szCs w:val="24"/>
              </w:rPr>
            </w:pPr>
            <w:r w:rsidRPr="00EF0F8C">
              <w:rPr>
                <w:rFonts w:eastAsia="Times New Roman" w:cs="Times New Roman"/>
                <w:b/>
                <w:bCs/>
                <w:sz w:val="24"/>
                <w:szCs w:val="24"/>
              </w:rPr>
              <w:t>2005</w:t>
            </w:r>
          </w:p>
        </w:tc>
        <w:tc>
          <w:tcPr>
            <w:tcW w:w="780" w:type="dxa"/>
            <w:vAlign w:val="bottom"/>
            <w:hideMark/>
          </w:tcPr>
          <w:p w:rsidR="00EF0F8C" w:rsidRPr="00EF0F8C" w:rsidRDefault="00EF0F8C" w:rsidP="00EF0F8C">
            <w:pPr>
              <w:spacing w:before="100" w:beforeAutospacing="1" w:after="100" w:afterAutospacing="1" w:line="240" w:lineRule="auto"/>
              <w:rPr>
                <w:rFonts w:eastAsia="Times New Roman" w:cs="Times New Roman"/>
                <w:sz w:val="24"/>
                <w:szCs w:val="24"/>
              </w:rPr>
            </w:pPr>
            <w:r w:rsidRPr="00EF0F8C">
              <w:rPr>
                <w:rFonts w:eastAsia="Times New Roman" w:cs="Times New Roman"/>
                <w:b/>
                <w:bCs/>
                <w:sz w:val="24"/>
                <w:szCs w:val="24"/>
              </w:rPr>
              <w:t>2006</w:t>
            </w:r>
          </w:p>
        </w:tc>
        <w:tc>
          <w:tcPr>
            <w:tcW w:w="780" w:type="dxa"/>
            <w:vAlign w:val="bottom"/>
            <w:hideMark/>
          </w:tcPr>
          <w:p w:rsidR="00EF0F8C" w:rsidRPr="00EF0F8C" w:rsidRDefault="00EF0F8C" w:rsidP="00EF0F8C">
            <w:pPr>
              <w:spacing w:before="100" w:beforeAutospacing="1" w:after="100" w:afterAutospacing="1" w:line="240" w:lineRule="auto"/>
              <w:rPr>
                <w:rFonts w:eastAsia="Times New Roman" w:cs="Times New Roman"/>
                <w:sz w:val="24"/>
                <w:szCs w:val="24"/>
              </w:rPr>
            </w:pPr>
            <w:r w:rsidRPr="00EF0F8C">
              <w:rPr>
                <w:rFonts w:eastAsia="Times New Roman" w:cs="Times New Roman"/>
                <w:b/>
                <w:bCs/>
                <w:sz w:val="24"/>
                <w:szCs w:val="24"/>
              </w:rPr>
              <w:t>2007</w:t>
            </w:r>
          </w:p>
        </w:tc>
        <w:tc>
          <w:tcPr>
            <w:tcW w:w="780" w:type="dxa"/>
            <w:vAlign w:val="bottom"/>
            <w:hideMark/>
          </w:tcPr>
          <w:p w:rsidR="00EF0F8C" w:rsidRPr="00EF0F8C" w:rsidRDefault="00EF0F8C" w:rsidP="00EF0F8C">
            <w:pPr>
              <w:spacing w:before="100" w:beforeAutospacing="1" w:after="100" w:afterAutospacing="1" w:line="240" w:lineRule="auto"/>
              <w:rPr>
                <w:rFonts w:eastAsia="Times New Roman" w:cs="Times New Roman"/>
                <w:sz w:val="24"/>
                <w:szCs w:val="24"/>
              </w:rPr>
            </w:pPr>
            <w:r w:rsidRPr="00EF0F8C">
              <w:rPr>
                <w:rFonts w:eastAsia="Times New Roman" w:cs="Times New Roman"/>
                <w:b/>
                <w:bCs/>
                <w:sz w:val="24"/>
                <w:szCs w:val="24"/>
              </w:rPr>
              <w:t>2008</w:t>
            </w:r>
          </w:p>
        </w:tc>
        <w:tc>
          <w:tcPr>
            <w:tcW w:w="780" w:type="dxa"/>
            <w:vAlign w:val="bottom"/>
            <w:hideMark/>
          </w:tcPr>
          <w:p w:rsidR="00EF0F8C" w:rsidRPr="00EF0F8C" w:rsidRDefault="00EF0F8C" w:rsidP="00EF0F8C">
            <w:pPr>
              <w:spacing w:before="100" w:beforeAutospacing="1" w:after="100" w:afterAutospacing="1" w:line="240" w:lineRule="auto"/>
              <w:rPr>
                <w:rFonts w:eastAsia="Times New Roman" w:cs="Times New Roman"/>
                <w:sz w:val="24"/>
                <w:szCs w:val="24"/>
              </w:rPr>
            </w:pPr>
            <w:r w:rsidRPr="00EF0F8C">
              <w:rPr>
                <w:rFonts w:eastAsia="Times New Roman" w:cs="Times New Roman"/>
                <w:b/>
                <w:bCs/>
                <w:sz w:val="24"/>
                <w:szCs w:val="24"/>
              </w:rPr>
              <w:t>2009</w:t>
            </w:r>
          </w:p>
        </w:tc>
        <w:tc>
          <w:tcPr>
            <w:tcW w:w="780" w:type="dxa"/>
            <w:vAlign w:val="bottom"/>
            <w:hideMark/>
          </w:tcPr>
          <w:p w:rsidR="00EF0F8C" w:rsidRPr="00EF0F8C" w:rsidRDefault="00EF0F8C" w:rsidP="00EF0F8C">
            <w:pPr>
              <w:spacing w:before="100" w:beforeAutospacing="1" w:after="100" w:afterAutospacing="1" w:line="240" w:lineRule="auto"/>
              <w:rPr>
                <w:rFonts w:eastAsia="Times New Roman" w:cs="Times New Roman"/>
                <w:sz w:val="24"/>
                <w:szCs w:val="24"/>
              </w:rPr>
            </w:pPr>
            <w:r w:rsidRPr="00EF0F8C">
              <w:rPr>
                <w:rFonts w:eastAsia="Times New Roman" w:cs="Times New Roman"/>
                <w:b/>
                <w:bCs/>
                <w:sz w:val="24"/>
                <w:szCs w:val="24"/>
              </w:rPr>
              <w:t>2011</w:t>
            </w:r>
          </w:p>
        </w:tc>
        <w:tc>
          <w:tcPr>
            <w:tcW w:w="780" w:type="dxa"/>
            <w:vAlign w:val="bottom"/>
            <w:hideMark/>
          </w:tcPr>
          <w:p w:rsidR="00EF0F8C" w:rsidRPr="00EF0F8C" w:rsidRDefault="00EF0F8C" w:rsidP="00EF0F8C">
            <w:pPr>
              <w:spacing w:before="100" w:beforeAutospacing="1" w:after="100" w:afterAutospacing="1" w:line="240" w:lineRule="auto"/>
              <w:rPr>
                <w:rFonts w:eastAsia="Times New Roman" w:cs="Times New Roman"/>
                <w:sz w:val="24"/>
                <w:szCs w:val="24"/>
              </w:rPr>
            </w:pPr>
            <w:r w:rsidRPr="00EF0F8C">
              <w:rPr>
                <w:rFonts w:eastAsia="Times New Roman" w:cs="Times New Roman"/>
                <w:b/>
                <w:bCs/>
                <w:sz w:val="24"/>
                <w:szCs w:val="24"/>
              </w:rPr>
              <w:t>2013</w:t>
            </w:r>
          </w:p>
        </w:tc>
        <w:tc>
          <w:tcPr>
            <w:tcW w:w="780" w:type="dxa"/>
            <w:vAlign w:val="bottom"/>
            <w:hideMark/>
          </w:tcPr>
          <w:p w:rsidR="00EF0F8C" w:rsidRPr="00EF0F8C" w:rsidRDefault="00EF0F8C" w:rsidP="00EF0F8C">
            <w:pPr>
              <w:spacing w:before="100" w:beforeAutospacing="1" w:after="100" w:afterAutospacing="1" w:line="240" w:lineRule="auto"/>
              <w:rPr>
                <w:rFonts w:eastAsia="Times New Roman" w:cs="Times New Roman"/>
                <w:sz w:val="24"/>
                <w:szCs w:val="24"/>
              </w:rPr>
            </w:pPr>
            <w:r w:rsidRPr="00EF0F8C">
              <w:rPr>
                <w:rFonts w:eastAsia="Times New Roman" w:cs="Times New Roman"/>
                <w:b/>
                <w:bCs/>
                <w:sz w:val="24"/>
                <w:szCs w:val="24"/>
              </w:rPr>
              <w:t>2015</w:t>
            </w:r>
          </w:p>
        </w:tc>
      </w:tr>
      <w:tr w:rsidR="00EF0F8C" w:rsidRPr="00EF0F8C" w:rsidTr="00EF0F8C">
        <w:trPr>
          <w:tblCellSpacing w:w="0" w:type="dxa"/>
        </w:trPr>
        <w:tc>
          <w:tcPr>
            <w:tcW w:w="2985" w:type="dxa"/>
            <w:vAlign w:val="bottom"/>
            <w:hideMark/>
          </w:tcPr>
          <w:p w:rsidR="00EF0F8C" w:rsidRPr="00EF0F8C" w:rsidRDefault="00EF0F8C" w:rsidP="00EF0F8C">
            <w:pPr>
              <w:spacing w:before="100" w:beforeAutospacing="1" w:after="100" w:afterAutospacing="1" w:line="240" w:lineRule="auto"/>
              <w:rPr>
                <w:rFonts w:eastAsia="Times New Roman" w:cs="Times New Roman"/>
                <w:sz w:val="24"/>
                <w:szCs w:val="24"/>
              </w:rPr>
            </w:pPr>
            <w:r w:rsidRPr="00EF0F8C">
              <w:rPr>
                <w:rFonts w:eastAsia="Times New Roman" w:cs="Times New Roman"/>
                <w:sz w:val="24"/>
                <w:szCs w:val="24"/>
              </w:rPr>
              <w:t xml:space="preserve">X </w:t>
            </w:r>
            <w:r w:rsidRPr="00EF0F8C">
              <w:rPr>
                <w:rFonts w:eastAsia="Times New Roman" w:cs="Times New Roman"/>
                <w:sz w:val="24"/>
                <w:szCs w:val="24"/>
                <w:u w:val="single"/>
              </w:rPr>
              <w:t>&gt;</w:t>
            </w:r>
            <w:r w:rsidRPr="00EF0F8C">
              <w:rPr>
                <w:rFonts w:eastAsia="Times New Roman" w:cs="Times New Roman"/>
                <w:sz w:val="24"/>
                <w:szCs w:val="24"/>
              </w:rPr>
              <w:t xml:space="preserve"> 60%</w:t>
            </w:r>
          </w:p>
        </w:tc>
        <w:tc>
          <w:tcPr>
            <w:tcW w:w="780" w:type="dxa"/>
            <w:vAlign w:val="bottom"/>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60</w:t>
            </w:r>
          </w:p>
        </w:tc>
        <w:tc>
          <w:tcPr>
            <w:tcW w:w="780" w:type="dxa"/>
            <w:vAlign w:val="bottom"/>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50</w:t>
            </w:r>
          </w:p>
        </w:tc>
        <w:tc>
          <w:tcPr>
            <w:tcW w:w="780" w:type="dxa"/>
            <w:vAlign w:val="bottom"/>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40</w:t>
            </w:r>
          </w:p>
        </w:tc>
        <w:tc>
          <w:tcPr>
            <w:tcW w:w="780" w:type="dxa"/>
            <w:vAlign w:val="bottom"/>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30</w:t>
            </w:r>
          </w:p>
        </w:tc>
        <w:tc>
          <w:tcPr>
            <w:tcW w:w="780" w:type="dxa"/>
            <w:vAlign w:val="bottom"/>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25</w:t>
            </w:r>
          </w:p>
        </w:tc>
        <w:tc>
          <w:tcPr>
            <w:tcW w:w="780" w:type="dxa"/>
            <w:vAlign w:val="bottom"/>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15</w:t>
            </w:r>
          </w:p>
        </w:tc>
        <w:tc>
          <w:tcPr>
            <w:tcW w:w="780" w:type="dxa"/>
            <w:vAlign w:val="bottom"/>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10</w:t>
            </w:r>
          </w:p>
        </w:tc>
        <w:tc>
          <w:tcPr>
            <w:tcW w:w="780" w:type="dxa"/>
            <w:vAlign w:val="bottom"/>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0</w:t>
            </w:r>
          </w:p>
        </w:tc>
      </w:tr>
      <w:tr w:rsidR="00EF0F8C" w:rsidRPr="00EF0F8C" w:rsidTr="00EF0F8C">
        <w:trPr>
          <w:tblCellSpacing w:w="0" w:type="dxa"/>
        </w:trPr>
        <w:tc>
          <w:tcPr>
            <w:tcW w:w="2985" w:type="dxa"/>
            <w:vAlign w:val="bottom"/>
            <w:hideMark/>
          </w:tcPr>
          <w:p w:rsidR="00EF0F8C" w:rsidRPr="00EF0F8C" w:rsidRDefault="00EF0F8C" w:rsidP="00EF0F8C">
            <w:pPr>
              <w:spacing w:before="100" w:beforeAutospacing="1" w:after="100" w:afterAutospacing="1" w:line="240" w:lineRule="auto"/>
              <w:rPr>
                <w:rFonts w:eastAsia="Times New Roman" w:cs="Times New Roman"/>
                <w:sz w:val="24"/>
                <w:szCs w:val="24"/>
              </w:rPr>
            </w:pPr>
            <w:r w:rsidRPr="00EF0F8C">
              <w:rPr>
                <w:rFonts w:eastAsia="Times New Roman" w:cs="Times New Roman"/>
                <w:sz w:val="24"/>
                <w:szCs w:val="24"/>
              </w:rPr>
              <w:t xml:space="preserve">45% </w:t>
            </w:r>
            <w:r w:rsidRPr="00EF0F8C">
              <w:rPr>
                <w:rFonts w:eastAsia="Times New Roman" w:cs="Times New Roman"/>
                <w:sz w:val="24"/>
                <w:szCs w:val="24"/>
                <w:u w:val="single"/>
              </w:rPr>
              <w:t>&lt;</w:t>
            </w:r>
            <w:r w:rsidRPr="00EF0F8C">
              <w:rPr>
                <w:rFonts w:eastAsia="Times New Roman" w:cs="Times New Roman"/>
                <w:sz w:val="24"/>
                <w:szCs w:val="24"/>
              </w:rPr>
              <w:t xml:space="preserve"> X &lt; 60%</w:t>
            </w:r>
          </w:p>
        </w:tc>
        <w:tc>
          <w:tcPr>
            <w:tcW w:w="780" w:type="dxa"/>
            <w:vAlign w:val="bottom"/>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40</w:t>
            </w:r>
          </w:p>
        </w:tc>
        <w:tc>
          <w:tcPr>
            <w:tcW w:w="780" w:type="dxa"/>
            <w:vAlign w:val="bottom"/>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35</w:t>
            </w:r>
          </w:p>
        </w:tc>
        <w:tc>
          <w:tcPr>
            <w:tcW w:w="780" w:type="dxa"/>
            <w:vAlign w:val="bottom"/>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35</w:t>
            </w:r>
          </w:p>
        </w:tc>
        <w:tc>
          <w:tcPr>
            <w:tcW w:w="780" w:type="dxa"/>
            <w:vAlign w:val="bottom"/>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30</w:t>
            </w:r>
          </w:p>
        </w:tc>
        <w:tc>
          <w:tcPr>
            <w:tcW w:w="780" w:type="dxa"/>
            <w:vAlign w:val="bottom"/>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25</w:t>
            </w:r>
          </w:p>
        </w:tc>
        <w:tc>
          <w:tcPr>
            <w:tcW w:w="780" w:type="dxa"/>
            <w:vAlign w:val="bottom"/>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15</w:t>
            </w:r>
          </w:p>
        </w:tc>
        <w:tc>
          <w:tcPr>
            <w:tcW w:w="780" w:type="dxa"/>
            <w:vAlign w:val="bottom"/>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10</w:t>
            </w:r>
          </w:p>
        </w:tc>
        <w:tc>
          <w:tcPr>
            <w:tcW w:w="780" w:type="dxa"/>
            <w:vAlign w:val="bottom"/>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0</w:t>
            </w:r>
          </w:p>
        </w:tc>
      </w:tr>
      <w:tr w:rsidR="00EF0F8C" w:rsidRPr="00EF0F8C" w:rsidTr="00EF0F8C">
        <w:trPr>
          <w:tblCellSpacing w:w="0" w:type="dxa"/>
        </w:trPr>
        <w:tc>
          <w:tcPr>
            <w:tcW w:w="2985" w:type="dxa"/>
            <w:vAlign w:val="bottom"/>
            <w:hideMark/>
          </w:tcPr>
          <w:p w:rsidR="00EF0F8C" w:rsidRPr="00EF0F8C" w:rsidRDefault="00EF0F8C" w:rsidP="00EF0F8C">
            <w:pPr>
              <w:spacing w:before="100" w:beforeAutospacing="1" w:after="100" w:afterAutospacing="1" w:line="240" w:lineRule="auto"/>
              <w:rPr>
                <w:rFonts w:eastAsia="Times New Roman" w:cs="Times New Roman"/>
                <w:sz w:val="24"/>
                <w:szCs w:val="24"/>
              </w:rPr>
            </w:pPr>
            <w:r w:rsidRPr="00EF0F8C">
              <w:rPr>
                <w:rFonts w:eastAsia="Times New Roman" w:cs="Times New Roman"/>
                <w:sz w:val="24"/>
                <w:szCs w:val="24"/>
              </w:rPr>
              <w:t xml:space="preserve">35% </w:t>
            </w:r>
            <w:r w:rsidRPr="00EF0F8C">
              <w:rPr>
                <w:rFonts w:eastAsia="Times New Roman" w:cs="Times New Roman"/>
                <w:sz w:val="24"/>
                <w:szCs w:val="24"/>
                <w:u w:val="single"/>
              </w:rPr>
              <w:t>&lt;</w:t>
            </w:r>
            <w:r w:rsidRPr="00EF0F8C">
              <w:rPr>
                <w:rFonts w:eastAsia="Times New Roman" w:cs="Times New Roman"/>
                <w:sz w:val="24"/>
                <w:szCs w:val="24"/>
              </w:rPr>
              <w:t xml:space="preserve"> X &lt; 45%</w:t>
            </w:r>
          </w:p>
        </w:tc>
        <w:tc>
          <w:tcPr>
            <w:tcW w:w="780" w:type="dxa"/>
            <w:vAlign w:val="bottom"/>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35</w:t>
            </w:r>
          </w:p>
        </w:tc>
        <w:tc>
          <w:tcPr>
            <w:tcW w:w="780" w:type="dxa"/>
            <w:vAlign w:val="bottom"/>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30</w:t>
            </w:r>
          </w:p>
        </w:tc>
        <w:tc>
          <w:tcPr>
            <w:tcW w:w="780" w:type="dxa"/>
            <w:vAlign w:val="bottom"/>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30</w:t>
            </w:r>
          </w:p>
        </w:tc>
        <w:tc>
          <w:tcPr>
            <w:tcW w:w="780" w:type="dxa"/>
            <w:vAlign w:val="bottom"/>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25</w:t>
            </w:r>
          </w:p>
        </w:tc>
        <w:tc>
          <w:tcPr>
            <w:tcW w:w="780" w:type="dxa"/>
            <w:vAlign w:val="bottom"/>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20</w:t>
            </w:r>
          </w:p>
        </w:tc>
        <w:tc>
          <w:tcPr>
            <w:tcW w:w="780" w:type="dxa"/>
            <w:vAlign w:val="bottom"/>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15</w:t>
            </w:r>
          </w:p>
        </w:tc>
        <w:tc>
          <w:tcPr>
            <w:tcW w:w="780" w:type="dxa"/>
            <w:vAlign w:val="bottom"/>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5</w:t>
            </w:r>
          </w:p>
        </w:tc>
        <w:tc>
          <w:tcPr>
            <w:tcW w:w="780" w:type="dxa"/>
            <w:vAlign w:val="bottom"/>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0</w:t>
            </w:r>
          </w:p>
        </w:tc>
      </w:tr>
      <w:tr w:rsidR="00EF0F8C" w:rsidRPr="00EF0F8C" w:rsidTr="00EF0F8C">
        <w:trPr>
          <w:tblCellSpacing w:w="0" w:type="dxa"/>
        </w:trPr>
        <w:tc>
          <w:tcPr>
            <w:tcW w:w="2985" w:type="dxa"/>
            <w:vAlign w:val="bottom"/>
            <w:hideMark/>
          </w:tcPr>
          <w:p w:rsidR="00EF0F8C" w:rsidRPr="00EF0F8C" w:rsidRDefault="00EF0F8C" w:rsidP="00EF0F8C">
            <w:pPr>
              <w:spacing w:before="100" w:beforeAutospacing="1" w:after="100" w:afterAutospacing="1" w:line="240" w:lineRule="auto"/>
              <w:rPr>
                <w:rFonts w:eastAsia="Times New Roman" w:cs="Times New Roman"/>
                <w:sz w:val="24"/>
                <w:szCs w:val="24"/>
              </w:rPr>
            </w:pPr>
            <w:r w:rsidRPr="00EF0F8C">
              <w:rPr>
                <w:rFonts w:eastAsia="Times New Roman" w:cs="Times New Roman"/>
                <w:sz w:val="24"/>
                <w:szCs w:val="24"/>
              </w:rPr>
              <w:t xml:space="preserve">30% </w:t>
            </w:r>
            <w:r w:rsidRPr="00EF0F8C">
              <w:rPr>
                <w:rFonts w:eastAsia="Times New Roman" w:cs="Times New Roman"/>
                <w:sz w:val="24"/>
                <w:szCs w:val="24"/>
                <w:u w:val="single"/>
              </w:rPr>
              <w:t>&lt;</w:t>
            </w:r>
            <w:r w:rsidRPr="00EF0F8C">
              <w:rPr>
                <w:rFonts w:eastAsia="Times New Roman" w:cs="Times New Roman"/>
                <w:sz w:val="24"/>
                <w:szCs w:val="24"/>
              </w:rPr>
              <w:t xml:space="preserve"> X &lt; 35%</w:t>
            </w:r>
          </w:p>
        </w:tc>
        <w:tc>
          <w:tcPr>
            <w:tcW w:w="780" w:type="dxa"/>
            <w:vAlign w:val="bottom"/>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30</w:t>
            </w:r>
          </w:p>
        </w:tc>
        <w:tc>
          <w:tcPr>
            <w:tcW w:w="780" w:type="dxa"/>
            <w:vAlign w:val="bottom"/>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25</w:t>
            </w:r>
          </w:p>
        </w:tc>
        <w:tc>
          <w:tcPr>
            <w:tcW w:w="780" w:type="dxa"/>
            <w:vAlign w:val="bottom"/>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25</w:t>
            </w:r>
          </w:p>
        </w:tc>
        <w:tc>
          <w:tcPr>
            <w:tcW w:w="780" w:type="dxa"/>
            <w:vAlign w:val="bottom"/>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20</w:t>
            </w:r>
          </w:p>
        </w:tc>
        <w:tc>
          <w:tcPr>
            <w:tcW w:w="780" w:type="dxa"/>
            <w:vAlign w:val="bottom"/>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17</w:t>
            </w:r>
          </w:p>
        </w:tc>
        <w:tc>
          <w:tcPr>
            <w:tcW w:w="780" w:type="dxa"/>
            <w:vAlign w:val="bottom"/>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10</w:t>
            </w:r>
          </w:p>
        </w:tc>
        <w:tc>
          <w:tcPr>
            <w:tcW w:w="780" w:type="dxa"/>
            <w:vAlign w:val="bottom"/>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5</w:t>
            </w:r>
          </w:p>
        </w:tc>
        <w:tc>
          <w:tcPr>
            <w:tcW w:w="780" w:type="dxa"/>
            <w:vAlign w:val="bottom"/>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0</w:t>
            </w:r>
          </w:p>
        </w:tc>
      </w:tr>
      <w:tr w:rsidR="00EF0F8C" w:rsidRPr="00EF0F8C" w:rsidTr="00EF0F8C">
        <w:trPr>
          <w:tblCellSpacing w:w="0" w:type="dxa"/>
        </w:trPr>
        <w:tc>
          <w:tcPr>
            <w:tcW w:w="2985" w:type="dxa"/>
            <w:vAlign w:val="bottom"/>
            <w:hideMark/>
          </w:tcPr>
          <w:p w:rsidR="00EF0F8C" w:rsidRPr="00EF0F8C" w:rsidRDefault="00EF0F8C" w:rsidP="00EF0F8C">
            <w:pPr>
              <w:spacing w:before="100" w:beforeAutospacing="1" w:after="100" w:afterAutospacing="1" w:line="240" w:lineRule="auto"/>
              <w:rPr>
                <w:rFonts w:eastAsia="Times New Roman" w:cs="Times New Roman"/>
                <w:sz w:val="24"/>
                <w:szCs w:val="24"/>
              </w:rPr>
            </w:pPr>
            <w:r w:rsidRPr="00EF0F8C">
              <w:rPr>
                <w:rFonts w:eastAsia="Times New Roman" w:cs="Times New Roman"/>
                <w:sz w:val="24"/>
                <w:szCs w:val="24"/>
              </w:rPr>
              <w:t xml:space="preserve">25% </w:t>
            </w:r>
            <w:r w:rsidRPr="00EF0F8C">
              <w:rPr>
                <w:rFonts w:eastAsia="Times New Roman" w:cs="Times New Roman"/>
                <w:sz w:val="24"/>
                <w:szCs w:val="24"/>
                <w:u w:val="single"/>
              </w:rPr>
              <w:t>&lt;</w:t>
            </w:r>
            <w:r w:rsidRPr="00EF0F8C">
              <w:rPr>
                <w:rFonts w:eastAsia="Times New Roman" w:cs="Times New Roman"/>
                <w:sz w:val="24"/>
                <w:szCs w:val="24"/>
              </w:rPr>
              <w:t xml:space="preserve"> X &lt; 30%</w:t>
            </w:r>
          </w:p>
        </w:tc>
        <w:tc>
          <w:tcPr>
            <w:tcW w:w="780" w:type="dxa"/>
            <w:vAlign w:val="bottom"/>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25</w:t>
            </w:r>
          </w:p>
        </w:tc>
        <w:tc>
          <w:tcPr>
            <w:tcW w:w="780" w:type="dxa"/>
            <w:vAlign w:val="bottom"/>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20</w:t>
            </w:r>
          </w:p>
        </w:tc>
        <w:tc>
          <w:tcPr>
            <w:tcW w:w="780" w:type="dxa"/>
            <w:vAlign w:val="bottom"/>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20</w:t>
            </w:r>
          </w:p>
        </w:tc>
        <w:tc>
          <w:tcPr>
            <w:tcW w:w="780" w:type="dxa"/>
            <w:vAlign w:val="bottom"/>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15</w:t>
            </w:r>
          </w:p>
        </w:tc>
        <w:tc>
          <w:tcPr>
            <w:tcW w:w="780" w:type="dxa"/>
            <w:vAlign w:val="bottom"/>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15</w:t>
            </w:r>
          </w:p>
        </w:tc>
        <w:tc>
          <w:tcPr>
            <w:tcW w:w="780" w:type="dxa"/>
            <w:vAlign w:val="bottom"/>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10</w:t>
            </w:r>
          </w:p>
        </w:tc>
        <w:tc>
          <w:tcPr>
            <w:tcW w:w="780" w:type="dxa"/>
            <w:vAlign w:val="bottom"/>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5</w:t>
            </w:r>
          </w:p>
        </w:tc>
        <w:tc>
          <w:tcPr>
            <w:tcW w:w="780" w:type="dxa"/>
            <w:vAlign w:val="bottom"/>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0</w:t>
            </w:r>
          </w:p>
        </w:tc>
      </w:tr>
      <w:tr w:rsidR="00EF0F8C" w:rsidRPr="00EF0F8C" w:rsidTr="00EF0F8C">
        <w:trPr>
          <w:tblCellSpacing w:w="0" w:type="dxa"/>
        </w:trPr>
        <w:tc>
          <w:tcPr>
            <w:tcW w:w="2985" w:type="dxa"/>
            <w:vAlign w:val="bottom"/>
            <w:hideMark/>
          </w:tcPr>
          <w:p w:rsidR="00EF0F8C" w:rsidRPr="00EF0F8C" w:rsidRDefault="00EF0F8C" w:rsidP="00EF0F8C">
            <w:pPr>
              <w:spacing w:before="100" w:beforeAutospacing="1" w:after="100" w:afterAutospacing="1" w:line="240" w:lineRule="auto"/>
              <w:rPr>
                <w:rFonts w:eastAsia="Times New Roman" w:cs="Times New Roman"/>
                <w:sz w:val="24"/>
                <w:szCs w:val="24"/>
              </w:rPr>
            </w:pPr>
            <w:r w:rsidRPr="00EF0F8C">
              <w:rPr>
                <w:rFonts w:eastAsia="Times New Roman" w:cs="Times New Roman"/>
                <w:sz w:val="24"/>
                <w:szCs w:val="24"/>
              </w:rPr>
              <w:t xml:space="preserve">20% </w:t>
            </w:r>
            <w:r w:rsidRPr="00EF0F8C">
              <w:rPr>
                <w:rFonts w:eastAsia="Times New Roman" w:cs="Times New Roman"/>
                <w:sz w:val="24"/>
                <w:szCs w:val="24"/>
                <w:u w:val="single"/>
              </w:rPr>
              <w:t>&lt;</w:t>
            </w:r>
            <w:r w:rsidRPr="00EF0F8C">
              <w:rPr>
                <w:rFonts w:eastAsia="Times New Roman" w:cs="Times New Roman"/>
                <w:sz w:val="24"/>
                <w:szCs w:val="24"/>
              </w:rPr>
              <w:t xml:space="preserve"> X &lt; 25%</w:t>
            </w:r>
          </w:p>
        </w:tc>
        <w:tc>
          <w:tcPr>
            <w:tcW w:w="780" w:type="dxa"/>
            <w:vAlign w:val="bottom"/>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20</w:t>
            </w:r>
          </w:p>
        </w:tc>
        <w:tc>
          <w:tcPr>
            <w:tcW w:w="780" w:type="dxa"/>
            <w:vAlign w:val="bottom"/>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20</w:t>
            </w:r>
          </w:p>
        </w:tc>
        <w:tc>
          <w:tcPr>
            <w:tcW w:w="780" w:type="dxa"/>
            <w:vAlign w:val="bottom"/>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15</w:t>
            </w:r>
          </w:p>
        </w:tc>
        <w:tc>
          <w:tcPr>
            <w:tcW w:w="780" w:type="dxa"/>
            <w:vAlign w:val="bottom"/>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15</w:t>
            </w:r>
          </w:p>
        </w:tc>
        <w:tc>
          <w:tcPr>
            <w:tcW w:w="780" w:type="dxa"/>
            <w:vAlign w:val="bottom"/>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15</w:t>
            </w:r>
          </w:p>
        </w:tc>
        <w:tc>
          <w:tcPr>
            <w:tcW w:w="780" w:type="dxa"/>
            <w:vAlign w:val="bottom"/>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10</w:t>
            </w:r>
          </w:p>
        </w:tc>
        <w:tc>
          <w:tcPr>
            <w:tcW w:w="780" w:type="dxa"/>
            <w:vAlign w:val="bottom"/>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0-5</w:t>
            </w:r>
          </w:p>
        </w:tc>
        <w:tc>
          <w:tcPr>
            <w:tcW w:w="780" w:type="dxa"/>
            <w:vAlign w:val="bottom"/>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0</w:t>
            </w:r>
          </w:p>
        </w:tc>
      </w:tr>
      <w:tr w:rsidR="00EF0F8C" w:rsidRPr="00EF0F8C" w:rsidTr="00EF0F8C">
        <w:trPr>
          <w:tblCellSpacing w:w="0" w:type="dxa"/>
        </w:trPr>
        <w:tc>
          <w:tcPr>
            <w:tcW w:w="2985" w:type="dxa"/>
            <w:vAlign w:val="bottom"/>
            <w:hideMark/>
          </w:tcPr>
          <w:p w:rsidR="00EF0F8C" w:rsidRPr="00EF0F8C" w:rsidRDefault="00EF0F8C" w:rsidP="00EF0F8C">
            <w:pPr>
              <w:spacing w:before="100" w:beforeAutospacing="1" w:after="100" w:afterAutospacing="1" w:line="240" w:lineRule="auto"/>
              <w:rPr>
                <w:rFonts w:eastAsia="Times New Roman" w:cs="Times New Roman"/>
                <w:sz w:val="24"/>
                <w:szCs w:val="24"/>
              </w:rPr>
            </w:pPr>
            <w:r w:rsidRPr="00EF0F8C">
              <w:rPr>
                <w:rFonts w:eastAsia="Times New Roman" w:cs="Times New Roman"/>
                <w:sz w:val="24"/>
                <w:szCs w:val="24"/>
              </w:rPr>
              <w:t xml:space="preserve">15% </w:t>
            </w:r>
            <w:r w:rsidRPr="00EF0F8C">
              <w:rPr>
                <w:rFonts w:eastAsia="Times New Roman" w:cs="Times New Roman"/>
                <w:sz w:val="24"/>
                <w:szCs w:val="24"/>
                <w:u w:val="single"/>
              </w:rPr>
              <w:t>&lt;</w:t>
            </w:r>
            <w:r w:rsidRPr="00EF0F8C">
              <w:rPr>
                <w:rFonts w:eastAsia="Times New Roman" w:cs="Times New Roman"/>
                <w:sz w:val="24"/>
                <w:szCs w:val="24"/>
              </w:rPr>
              <w:t xml:space="preserve"> X &lt; 20%</w:t>
            </w:r>
          </w:p>
        </w:tc>
        <w:tc>
          <w:tcPr>
            <w:tcW w:w="780" w:type="dxa"/>
            <w:vAlign w:val="bottom"/>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15</w:t>
            </w:r>
          </w:p>
        </w:tc>
        <w:tc>
          <w:tcPr>
            <w:tcW w:w="780" w:type="dxa"/>
            <w:vAlign w:val="bottom"/>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15</w:t>
            </w:r>
          </w:p>
        </w:tc>
        <w:tc>
          <w:tcPr>
            <w:tcW w:w="780" w:type="dxa"/>
            <w:vAlign w:val="bottom"/>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10</w:t>
            </w:r>
          </w:p>
        </w:tc>
        <w:tc>
          <w:tcPr>
            <w:tcW w:w="780" w:type="dxa"/>
            <w:vAlign w:val="bottom"/>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10</w:t>
            </w:r>
          </w:p>
        </w:tc>
        <w:tc>
          <w:tcPr>
            <w:tcW w:w="780" w:type="dxa"/>
            <w:vAlign w:val="bottom"/>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10</w:t>
            </w:r>
          </w:p>
        </w:tc>
        <w:tc>
          <w:tcPr>
            <w:tcW w:w="780" w:type="dxa"/>
            <w:vAlign w:val="bottom"/>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5</w:t>
            </w:r>
          </w:p>
        </w:tc>
        <w:tc>
          <w:tcPr>
            <w:tcW w:w="780" w:type="dxa"/>
            <w:vAlign w:val="bottom"/>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0-5</w:t>
            </w:r>
          </w:p>
        </w:tc>
        <w:tc>
          <w:tcPr>
            <w:tcW w:w="780" w:type="dxa"/>
            <w:vAlign w:val="bottom"/>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0</w:t>
            </w:r>
          </w:p>
        </w:tc>
      </w:tr>
      <w:tr w:rsidR="00EF0F8C" w:rsidRPr="00EF0F8C" w:rsidTr="00EF0F8C">
        <w:trPr>
          <w:tblCellSpacing w:w="0" w:type="dxa"/>
        </w:trPr>
        <w:tc>
          <w:tcPr>
            <w:tcW w:w="2985" w:type="dxa"/>
            <w:vAlign w:val="bottom"/>
            <w:hideMark/>
          </w:tcPr>
          <w:p w:rsidR="00EF0F8C" w:rsidRPr="00EF0F8C" w:rsidRDefault="00EF0F8C" w:rsidP="00EF0F8C">
            <w:pPr>
              <w:spacing w:before="100" w:beforeAutospacing="1" w:after="100" w:afterAutospacing="1" w:line="240" w:lineRule="auto"/>
              <w:rPr>
                <w:rFonts w:eastAsia="Times New Roman" w:cs="Times New Roman"/>
                <w:sz w:val="24"/>
                <w:szCs w:val="24"/>
              </w:rPr>
            </w:pPr>
            <w:r w:rsidRPr="00EF0F8C">
              <w:rPr>
                <w:rFonts w:eastAsia="Times New Roman" w:cs="Times New Roman"/>
                <w:sz w:val="24"/>
                <w:szCs w:val="24"/>
              </w:rPr>
              <w:t xml:space="preserve">10% </w:t>
            </w:r>
            <w:r w:rsidRPr="00EF0F8C">
              <w:rPr>
                <w:rFonts w:eastAsia="Times New Roman" w:cs="Times New Roman"/>
                <w:sz w:val="24"/>
                <w:szCs w:val="24"/>
                <w:u w:val="single"/>
              </w:rPr>
              <w:t>&lt;</w:t>
            </w:r>
            <w:r w:rsidRPr="00EF0F8C">
              <w:rPr>
                <w:rFonts w:eastAsia="Times New Roman" w:cs="Times New Roman"/>
                <w:sz w:val="24"/>
                <w:szCs w:val="24"/>
              </w:rPr>
              <w:t xml:space="preserve"> X &lt; 15%</w:t>
            </w:r>
          </w:p>
        </w:tc>
        <w:tc>
          <w:tcPr>
            <w:tcW w:w="780" w:type="dxa"/>
            <w:vAlign w:val="bottom"/>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10</w:t>
            </w:r>
          </w:p>
        </w:tc>
        <w:tc>
          <w:tcPr>
            <w:tcW w:w="780" w:type="dxa"/>
            <w:vAlign w:val="bottom"/>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10</w:t>
            </w:r>
          </w:p>
        </w:tc>
        <w:tc>
          <w:tcPr>
            <w:tcW w:w="780" w:type="dxa"/>
            <w:vAlign w:val="bottom"/>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10</w:t>
            </w:r>
          </w:p>
        </w:tc>
        <w:tc>
          <w:tcPr>
            <w:tcW w:w="780" w:type="dxa"/>
            <w:vAlign w:val="bottom"/>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10</w:t>
            </w:r>
          </w:p>
        </w:tc>
        <w:tc>
          <w:tcPr>
            <w:tcW w:w="780" w:type="dxa"/>
            <w:vAlign w:val="bottom"/>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8</w:t>
            </w:r>
          </w:p>
        </w:tc>
        <w:tc>
          <w:tcPr>
            <w:tcW w:w="780" w:type="dxa"/>
            <w:vAlign w:val="bottom"/>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5</w:t>
            </w:r>
          </w:p>
        </w:tc>
        <w:tc>
          <w:tcPr>
            <w:tcW w:w="780" w:type="dxa"/>
            <w:vAlign w:val="bottom"/>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0-5</w:t>
            </w:r>
          </w:p>
        </w:tc>
        <w:tc>
          <w:tcPr>
            <w:tcW w:w="780" w:type="dxa"/>
            <w:vAlign w:val="bottom"/>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0</w:t>
            </w:r>
          </w:p>
        </w:tc>
      </w:tr>
      <w:tr w:rsidR="00EF0F8C" w:rsidRPr="00EF0F8C" w:rsidTr="00EF0F8C">
        <w:trPr>
          <w:tblCellSpacing w:w="0" w:type="dxa"/>
        </w:trPr>
        <w:tc>
          <w:tcPr>
            <w:tcW w:w="2985" w:type="dxa"/>
            <w:vAlign w:val="bottom"/>
            <w:hideMark/>
          </w:tcPr>
          <w:p w:rsidR="00EF0F8C" w:rsidRPr="00EF0F8C" w:rsidRDefault="00EF0F8C" w:rsidP="00EF0F8C">
            <w:pPr>
              <w:spacing w:before="100" w:beforeAutospacing="1" w:after="100" w:afterAutospacing="1" w:line="240" w:lineRule="auto"/>
              <w:rPr>
                <w:rFonts w:eastAsia="Times New Roman" w:cs="Times New Roman"/>
                <w:sz w:val="24"/>
                <w:szCs w:val="24"/>
              </w:rPr>
            </w:pPr>
            <w:r w:rsidRPr="00EF0F8C">
              <w:rPr>
                <w:rFonts w:eastAsia="Times New Roman" w:cs="Times New Roman"/>
                <w:sz w:val="24"/>
                <w:szCs w:val="24"/>
              </w:rPr>
              <w:t xml:space="preserve">7% </w:t>
            </w:r>
            <w:r w:rsidRPr="00EF0F8C">
              <w:rPr>
                <w:rFonts w:eastAsia="Times New Roman" w:cs="Times New Roman"/>
                <w:sz w:val="24"/>
                <w:szCs w:val="24"/>
                <w:u w:val="single"/>
              </w:rPr>
              <w:t>&lt;</w:t>
            </w:r>
            <w:r w:rsidRPr="00EF0F8C">
              <w:rPr>
                <w:rFonts w:eastAsia="Times New Roman" w:cs="Times New Roman"/>
                <w:sz w:val="24"/>
                <w:szCs w:val="24"/>
              </w:rPr>
              <w:t xml:space="preserve"> X &lt; 10%</w:t>
            </w:r>
          </w:p>
        </w:tc>
        <w:tc>
          <w:tcPr>
            <w:tcW w:w="780" w:type="dxa"/>
            <w:vAlign w:val="bottom"/>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7</w:t>
            </w:r>
          </w:p>
        </w:tc>
        <w:tc>
          <w:tcPr>
            <w:tcW w:w="780" w:type="dxa"/>
            <w:vAlign w:val="bottom"/>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7</w:t>
            </w:r>
          </w:p>
        </w:tc>
        <w:tc>
          <w:tcPr>
            <w:tcW w:w="780" w:type="dxa"/>
            <w:vAlign w:val="bottom"/>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7</w:t>
            </w:r>
          </w:p>
        </w:tc>
        <w:tc>
          <w:tcPr>
            <w:tcW w:w="780" w:type="dxa"/>
            <w:vAlign w:val="bottom"/>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7</w:t>
            </w:r>
          </w:p>
        </w:tc>
        <w:tc>
          <w:tcPr>
            <w:tcW w:w="780" w:type="dxa"/>
            <w:vAlign w:val="bottom"/>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5</w:t>
            </w:r>
          </w:p>
        </w:tc>
        <w:tc>
          <w:tcPr>
            <w:tcW w:w="780" w:type="dxa"/>
            <w:vAlign w:val="bottom"/>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5</w:t>
            </w:r>
          </w:p>
        </w:tc>
        <w:tc>
          <w:tcPr>
            <w:tcW w:w="780" w:type="dxa"/>
            <w:vAlign w:val="bottom"/>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0-5</w:t>
            </w:r>
          </w:p>
        </w:tc>
        <w:tc>
          <w:tcPr>
            <w:tcW w:w="780" w:type="dxa"/>
            <w:vAlign w:val="bottom"/>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0</w:t>
            </w:r>
          </w:p>
        </w:tc>
      </w:tr>
      <w:tr w:rsidR="00EF0F8C" w:rsidRPr="00EF0F8C" w:rsidTr="00EF0F8C">
        <w:trPr>
          <w:tblCellSpacing w:w="0" w:type="dxa"/>
        </w:trPr>
        <w:tc>
          <w:tcPr>
            <w:tcW w:w="2985" w:type="dxa"/>
            <w:vAlign w:val="bottom"/>
            <w:hideMark/>
          </w:tcPr>
          <w:p w:rsidR="00EF0F8C" w:rsidRPr="00EF0F8C" w:rsidRDefault="00EF0F8C" w:rsidP="00EF0F8C">
            <w:pPr>
              <w:spacing w:before="100" w:beforeAutospacing="1" w:after="100" w:afterAutospacing="1" w:line="240" w:lineRule="auto"/>
              <w:rPr>
                <w:rFonts w:eastAsia="Times New Roman" w:cs="Times New Roman"/>
                <w:sz w:val="24"/>
                <w:szCs w:val="24"/>
              </w:rPr>
            </w:pPr>
            <w:r w:rsidRPr="00EF0F8C">
              <w:rPr>
                <w:rFonts w:eastAsia="Times New Roman" w:cs="Times New Roman"/>
                <w:sz w:val="24"/>
                <w:szCs w:val="24"/>
              </w:rPr>
              <w:t xml:space="preserve">5% </w:t>
            </w:r>
            <w:r w:rsidRPr="00EF0F8C">
              <w:rPr>
                <w:rFonts w:eastAsia="Times New Roman" w:cs="Times New Roman"/>
                <w:sz w:val="24"/>
                <w:szCs w:val="24"/>
                <w:u w:val="single"/>
              </w:rPr>
              <w:t>&lt;</w:t>
            </w:r>
            <w:r w:rsidRPr="00EF0F8C">
              <w:rPr>
                <w:rFonts w:eastAsia="Times New Roman" w:cs="Times New Roman"/>
                <w:sz w:val="24"/>
                <w:szCs w:val="24"/>
              </w:rPr>
              <w:t xml:space="preserve"> X &lt; 7%</w:t>
            </w:r>
          </w:p>
        </w:tc>
        <w:tc>
          <w:tcPr>
            <w:tcW w:w="780" w:type="dxa"/>
            <w:vAlign w:val="bottom"/>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5</w:t>
            </w:r>
          </w:p>
        </w:tc>
        <w:tc>
          <w:tcPr>
            <w:tcW w:w="780" w:type="dxa"/>
            <w:vAlign w:val="bottom"/>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5</w:t>
            </w:r>
          </w:p>
        </w:tc>
        <w:tc>
          <w:tcPr>
            <w:tcW w:w="780" w:type="dxa"/>
            <w:vAlign w:val="bottom"/>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5</w:t>
            </w:r>
          </w:p>
        </w:tc>
        <w:tc>
          <w:tcPr>
            <w:tcW w:w="780" w:type="dxa"/>
            <w:vAlign w:val="bottom"/>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5</w:t>
            </w:r>
          </w:p>
        </w:tc>
        <w:tc>
          <w:tcPr>
            <w:tcW w:w="780" w:type="dxa"/>
            <w:vAlign w:val="bottom"/>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5</w:t>
            </w:r>
          </w:p>
        </w:tc>
        <w:tc>
          <w:tcPr>
            <w:tcW w:w="780" w:type="dxa"/>
            <w:vAlign w:val="bottom"/>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5</w:t>
            </w:r>
          </w:p>
        </w:tc>
        <w:tc>
          <w:tcPr>
            <w:tcW w:w="780" w:type="dxa"/>
            <w:vAlign w:val="bottom"/>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0-5</w:t>
            </w:r>
          </w:p>
        </w:tc>
        <w:tc>
          <w:tcPr>
            <w:tcW w:w="780" w:type="dxa"/>
            <w:vAlign w:val="bottom"/>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0</w:t>
            </w:r>
          </w:p>
        </w:tc>
      </w:tr>
      <w:tr w:rsidR="00EF0F8C" w:rsidRPr="00EF0F8C" w:rsidTr="00EF0F8C">
        <w:trPr>
          <w:tblCellSpacing w:w="0" w:type="dxa"/>
        </w:trPr>
        <w:tc>
          <w:tcPr>
            <w:tcW w:w="2985" w:type="dxa"/>
            <w:vAlign w:val="bottom"/>
            <w:hideMark/>
          </w:tcPr>
          <w:p w:rsidR="00EF0F8C" w:rsidRPr="00EF0F8C" w:rsidRDefault="00EF0F8C" w:rsidP="00EF0F8C">
            <w:pPr>
              <w:spacing w:before="100" w:beforeAutospacing="1" w:after="100" w:afterAutospacing="1" w:line="240" w:lineRule="auto"/>
              <w:rPr>
                <w:rFonts w:eastAsia="Times New Roman" w:cs="Times New Roman"/>
                <w:sz w:val="24"/>
                <w:szCs w:val="24"/>
              </w:rPr>
            </w:pPr>
            <w:r w:rsidRPr="00EF0F8C">
              <w:rPr>
                <w:rFonts w:eastAsia="Times New Roman" w:cs="Times New Roman"/>
                <w:sz w:val="24"/>
                <w:szCs w:val="24"/>
              </w:rPr>
              <w:t>X &lt; 5%</w:t>
            </w:r>
          </w:p>
        </w:tc>
        <w:tc>
          <w:tcPr>
            <w:tcW w:w="5445" w:type="dxa"/>
            <w:gridSpan w:val="7"/>
            <w:vAlign w:val="bottom"/>
            <w:hideMark/>
          </w:tcPr>
          <w:p w:rsidR="00EF0F8C" w:rsidRPr="00EF0F8C" w:rsidRDefault="00EF0F8C" w:rsidP="00EF0F8C">
            <w:pPr>
              <w:spacing w:before="100" w:beforeAutospacing="1" w:after="100" w:afterAutospacing="1" w:line="240" w:lineRule="auto"/>
              <w:rPr>
                <w:rFonts w:eastAsia="Times New Roman" w:cs="Times New Roman"/>
                <w:sz w:val="24"/>
                <w:szCs w:val="24"/>
              </w:rPr>
            </w:pPr>
            <w:r w:rsidRPr="00EF0F8C">
              <w:rPr>
                <w:rFonts w:eastAsia="Times New Roman" w:cs="Times New Roman"/>
                <w:sz w:val="24"/>
                <w:szCs w:val="24"/>
              </w:rPr>
              <w:t>Giữ nguyên</w:t>
            </w:r>
          </w:p>
        </w:tc>
        <w:tc>
          <w:tcPr>
            <w:tcW w:w="780" w:type="dxa"/>
            <w:vAlign w:val="bottom"/>
            <w:hideMark/>
          </w:tcPr>
          <w:p w:rsidR="00EF0F8C" w:rsidRPr="00EF0F8C" w:rsidRDefault="00EF0F8C" w:rsidP="00EF0F8C">
            <w:pPr>
              <w:spacing w:before="100" w:beforeAutospacing="1" w:after="100" w:afterAutospacing="1" w:line="240" w:lineRule="auto"/>
              <w:rPr>
                <w:rFonts w:eastAsia="Times New Roman" w:cs="Times New Roman"/>
                <w:sz w:val="24"/>
                <w:szCs w:val="24"/>
              </w:rPr>
            </w:pPr>
            <w:r w:rsidRPr="00EF0F8C">
              <w:rPr>
                <w:rFonts w:eastAsia="Times New Roman" w:cs="Times New Roman"/>
                <w:sz w:val="24"/>
                <w:szCs w:val="24"/>
              </w:rPr>
              <w:t>0</w:t>
            </w:r>
          </w:p>
        </w:tc>
      </w:tr>
    </w:tbl>
    <w:p w:rsidR="00EF0F8C" w:rsidRPr="00EF0F8C" w:rsidRDefault="00EF0F8C" w:rsidP="00EF0F8C">
      <w:pPr>
        <w:spacing w:before="100" w:beforeAutospacing="1" w:after="100" w:afterAutospacing="1" w:line="240" w:lineRule="auto"/>
        <w:jc w:val="right"/>
        <w:rPr>
          <w:rFonts w:eastAsia="Times New Roman" w:cs="Times New Roman"/>
          <w:sz w:val="24"/>
          <w:szCs w:val="24"/>
        </w:rPr>
      </w:pPr>
      <w:r w:rsidRPr="00EF0F8C">
        <w:rPr>
          <w:rFonts w:eastAsia="Times New Roman" w:cs="Times New Roman"/>
          <w:i/>
          <w:iCs/>
          <w:sz w:val="24"/>
          <w:szCs w:val="24"/>
        </w:rPr>
        <w:t>Nguồn: Hiệp định Thương mại Hàng hoá ASEAN-Trung Quốc</w:t>
      </w:r>
    </w:p>
    <w:p w:rsidR="00EF0F8C" w:rsidRPr="00EF0F8C" w:rsidRDefault="00EF0F8C" w:rsidP="00EF0F8C">
      <w:pPr>
        <w:spacing w:before="100" w:beforeAutospacing="1" w:after="100" w:afterAutospacing="1" w:line="240" w:lineRule="auto"/>
        <w:rPr>
          <w:rFonts w:eastAsia="Times New Roman" w:cs="Times New Roman"/>
          <w:sz w:val="24"/>
          <w:szCs w:val="24"/>
        </w:rPr>
      </w:pPr>
      <w:r w:rsidRPr="00EF0F8C">
        <w:rPr>
          <w:rFonts w:eastAsia="Times New Roman" w:cs="Times New Roman"/>
          <w:sz w:val="24"/>
          <w:szCs w:val="24"/>
        </w:rPr>
        <w:t>            Ngoài việc giảm thuế theo lộ trình trên, Việt Nam cũng phải thực hiện một số cam kết bổ sung sau:</w:t>
      </w:r>
    </w:p>
    <w:p w:rsidR="00EF0F8C" w:rsidRPr="00EF0F8C" w:rsidRDefault="00EF0F8C" w:rsidP="00EF0F8C">
      <w:pPr>
        <w:spacing w:before="100" w:beforeAutospacing="1" w:after="100" w:afterAutospacing="1" w:line="240" w:lineRule="auto"/>
        <w:rPr>
          <w:rFonts w:eastAsia="Times New Roman" w:cs="Times New Roman"/>
          <w:sz w:val="24"/>
          <w:szCs w:val="24"/>
        </w:rPr>
      </w:pPr>
      <w:r w:rsidRPr="00EF0F8C">
        <w:rPr>
          <w:rFonts w:eastAsia="Times New Roman" w:cs="Times New Roman"/>
          <w:sz w:val="24"/>
          <w:szCs w:val="24"/>
        </w:rPr>
        <w:t>            - Phải giảm thuế suất của ít nhất 50% các dòng thuế trong Danh mục Thông thường xuống 0-5% không muộn hơn ngày 1/1/ 2009</w:t>
      </w:r>
    </w:p>
    <w:p w:rsidR="00EF0F8C" w:rsidRPr="00EF0F8C" w:rsidRDefault="00EF0F8C" w:rsidP="00EF0F8C">
      <w:pPr>
        <w:spacing w:before="100" w:beforeAutospacing="1" w:after="100" w:afterAutospacing="1" w:line="240" w:lineRule="auto"/>
        <w:rPr>
          <w:rFonts w:eastAsia="Times New Roman" w:cs="Times New Roman"/>
          <w:sz w:val="24"/>
          <w:szCs w:val="24"/>
        </w:rPr>
      </w:pPr>
      <w:r w:rsidRPr="00EF0F8C">
        <w:rPr>
          <w:rFonts w:eastAsia="Times New Roman" w:cs="Times New Roman"/>
          <w:sz w:val="24"/>
          <w:szCs w:val="24"/>
        </w:rPr>
        <w:t>            - Phải xóa bỏ thuế quan của 45% dòng thuế trong Danh mục Thông thường không muộn hơn ngày 1/1/2013.</w:t>
      </w:r>
    </w:p>
    <w:p w:rsidR="00EF0F8C" w:rsidRPr="00EF0F8C" w:rsidRDefault="00EF0F8C" w:rsidP="00EF0F8C">
      <w:pPr>
        <w:spacing w:before="100" w:beforeAutospacing="1" w:after="100" w:afterAutospacing="1" w:line="240" w:lineRule="auto"/>
        <w:rPr>
          <w:rFonts w:eastAsia="Times New Roman" w:cs="Times New Roman"/>
          <w:sz w:val="24"/>
          <w:szCs w:val="24"/>
        </w:rPr>
      </w:pPr>
      <w:r w:rsidRPr="00EF0F8C">
        <w:rPr>
          <w:rFonts w:eastAsia="Times New Roman" w:cs="Times New Roman"/>
          <w:sz w:val="24"/>
          <w:szCs w:val="24"/>
        </w:rPr>
        <w:t>            - Phải xoá bỏ thuế quan của ít nhất 85% số dòng thuế vào năm 2015, số còn lại 5% số dòng thuế - nhưng không được vượt quá 250 dòng thuế ở cấp độ HS 6 số sẽ được xoá bỏ thuế quan vào năm 2018</w:t>
      </w:r>
    </w:p>
    <w:p w:rsidR="00EF0F8C" w:rsidRPr="00EF0F8C" w:rsidRDefault="00EF0F8C" w:rsidP="00EF0F8C">
      <w:pPr>
        <w:spacing w:before="100" w:beforeAutospacing="1" w:after="100" w:afterAutospacing="1" w:line="240" w:lineRule="auto"/>
        <w:rPr>
          <w:rFonts w:eastAsia="Times New Roman" w:cs="Times New Roman"/>
          <w:sz w:val="24"/>
          <w:szCs w:val="24"/>
        </w:rPr>
      </w:pPr>
      <w:r w:rsidRPr="00EF0F8C">
        <w:rPr>
          <w:rFonts w:eastAsia="Times New Roman" w:cs="Times New Roman"/>
          <w:sz w:val="24"/>
          <w:szCs w:val="24"/>
        </w:rPr>
        <w:t>            - Theo Biên bản ghi nhớ giữa Việt Nam-Trung Quốc ký ngày 18/7/2005, một số mặt hàng cụ thể (thuộc cả danh mục thông thường và danh mục nhạy cảm) có lộ trình giảm thuế nhanh hơn quy định chung. Các mặt hàng thuộc danh mục nhạy cảm có mức thuế suất cam kết sớm hơn quy định chung, chủ yếu gồm:</w:t>
      </w:r>
    </w:p>
    <w:tbl>
      <w:tblPr>
        <w:tblW w:w="739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810"/>
        <w:gridCol w:w="1740"/>
        <w:gridCol w:w="1845"/>
      </w:tblGrid>
      <w:tr w:rsidR="00EF0F8C" w:rsidRPr="00EF0F8C" w:rsidTr="00EF0F8C">
        <w:trPr>
          <w:tblHeader/>
          <w:tblCellSpacing w:w="0" w:type="dxa"/>
        </w:trPr>
        <w:tc>
          <w:tcPr>
            <w:tcW w:w="3810" w:type="dxa"/>
            <w:vMerge w:val="restart"/>
            <w:tcBorders>
              <w:top w:val="outset" w:sz="6" w:space="0" w:color="auto"/>
              <w:left w:val="outset" w:sz="6" w:space="0" w:color="auto"/>
              <w:bottom w:val="outset" w:sz="6" w:space="0" w:color="auto"/>
              <w:right w:val="outset" w:sz="6" w:space="0" w:color="auto"/>
            </w:tcBorders>
            <w:vAlign w:val="center"/>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b/>
                <w:bCs/>
                <w:sz w:val="24"/>
                <w:szCs w:val="24"/>
              </w:rPr>
              <w:t>Mặt hàng</w:t>
            </w:r>
          </w:p>
        </w:tc>
        <w:tc>
          <w:tcPr>
            <w:tcW w:w="3585" w:type="dxa"/>
            <w:gridSpan w:val="2"/>
            <w:tcBorders>
              <w:top w:val="outset" w:sz="6" w:space="0" w:color="auto"/>
              <w:left w:val="outset" w:sz="6" w:space="0" w:color="auto"/>
              <w:bottom w:val="outset" w:sz="6" w:space="0" w:color="auto"/>
              <w:right w:val="outset" w:sz="6" w:space="0" w:color="auto"/>
            </w:tcBorders>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b/>
                <w:bCs/>
                <w:sz w:val="24"/>
                <w:szCs w:val="24"/>
              </w:rPr>
              <w:t>Mức thuế cam kết</w:t>
            </w:r>
          </w:p>
        </w:tc>
      </w:tr>
      <w:tr w:rsidR="00EF0F8C" w:rsidRPr="00EF0F8C" w:rsidTr="00EF0F8C">
        <w:trPr>
          <w:tblHeade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F0F8C" w:rsidRPr="00EF0F8C" w:rsidRDefault="00EF0F8C" w:rsidP="00EF0F8C">
            <w:pPr>
              <w:spacing w:after="0" w:line="240" w:lineRule="auto"/>
              <w:rPr>
                <w:rFonts w:eastAsia="Times New Roman" w:cs="Times New Roman"/>
                <w:sz w:val="24"/>
                <w:szCs w:val="24"/>
              </w:rPr>
            </w:pPr>
          </w:p>
        </w:tc>
        <w:tc>
          <w:tcPr>
            <w:tcW w:w="1740" w:type="dxa"/>
            <w:tcBorders>
              <w:top w:val="outset" w:sz="6" w:space="0" w:color="auto"/>
              <w:left w:val="outset" w:sz="6" w:space="0" w:color="auto"/>
              <w:bottom w:val="outset" w:sz="6" w:space="0" w:color="auto"/>
              <w:right w:val="outset" w:sz="6" w:space="0" w:color="auto"/>
            </w:tcBorders>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b/>
                <w:bCs/>
                <w:sz w:val="24"/>
                <w:szCs w:val="24"/>
              </w:rPr>
              <w:t>%</w:t>
            </w:r>
          </w:p>
        </w:tc>
        <w:tc>
          <w:tcPr>
            <w:tcW w:w="1845" w:type="dxa"/>
            <w:tcBorders>
              <w:top w:val="outset" w:sz="6" w:space="0" w:color="auto"/>
              <w:left w:val="outset" w:sz="6" w:space="0" w:color="auto"/>
              <w:bottom w:val="outset" w:sz="6" w:space="0" w:color="auto"/>
              <w:right w:val="outset" w:sz="6" w:space="0" w:color="auto"/>
            </w:tcBorders>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b/>
                <w:bCs/>
                <w:sz w:val="24"/>
                <w:szCs w:val="24"/>
              </w:rPr>
              <w:t>Năm</w:t>
            </w:r>
          </w:p>
        </w:tc>
      </w:tr>
      <w:tr w:rsidR="00EF0F8C" w:rsidRPr="00EF0F8C" w:rsidTr="00EF0F8C">
        <w:trPr>
          <w:tblCellSpacing w:w="0" w:type="dxa"/>
        </w:trPr>
        <w:tc>
          <w:tcPr>
            <w:tcW w:w="3810" w:type="dxa"/>
            <w:tcBorders>
              <w:top w:val="outset" w:sz="6" w:space="0" w:color="auto"/>
              <w:left w:val="outset" w:sz="6" w:space="0" w:color="auto"/>
              <w:bottom w:val="outset" w:sz="6" w:space="0" w:color="auto"/>
              <w:right w:val="outset" w:sz="6" w:space="0" w:color="auto"/>
            </w:tcBorders>
            <w:hideMark/>
          </w:tcPr>
          <w:p w:rsidR="00EF0F8C" w:rsidRPr="00EF0F8C" w:rsidRDefault="00EF0F8C" w:rsidP="00EF0F8C">
            <w:pPr>
              <w:spacing w:before="100" w:beforeAutospacing="1" w:after="100" w:afterAutospacing="1" w:line="240" w:lineRule="auto"/>
              <w:rPr>
                <w:rFonts w:eastAsia="Times New Roman" w:cs="Times New Roman"/>
                <w:sz w:val="24"/>
                <w:szCs w:val="24"/>
              </w:rPr>
            </w:pPr>
            <w:r w:rsidRPr="00EF0F8C">
              <w:rPr>
                <w:rFonts w:eastAsia="Times New Roman" w:cs="Times New Roman"/>
                <w:sz w:val="24"/>
                <w:szCs w:val="24"/>
              </w:rPr>
              <w:t>Ôtô tải loại tải trọng lớn</w:t>
            </w:r>
          </w:p>
        </w:tc>
        <w:tc>
          <w:tcPr>
            <w:tcW w:w="1740" w:type="dxa"/>
            <w:tcBorders>
              <w:top w:val="outset" w:sz="6" w:space="0" w:color="auto"/>
              <w:left w:val="outset" w:sz="6" w:space="0" w:color="auto"/>
              <w:bottom w:val="outset" w:sz="6" w:space="0" w:color="auto"/>
              <w:right w:val="outset" w:sz="6" w:space="0" w:color="auto"/>
            </w:tcBorders>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30%</w:t>
            </w:r>
          </w:p>
        </w:tc>
        <w:tc>
          <w:tcPr>
            <w:tcW w:w="1845" w:type="dxa"/>
            <w:tcBorders>
              <w:top w:val="outset" w:sz="6" w:space="0" w:color="auto"/>
              <w:left w:val="outset" w:sz="6" w:space="0" w:color="auto"/>
              <w:bottom w:val="outset" w:sz="6" w:space="0" w:color="auto"/>
              <w:right w:val="outset" w:sz="6" w:space="0" w:color="auto"/>
            </w:tcBorders>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2012</w:t>
            </w:r>
          </w:p>
        </w:tc>
      </w:tr>
      <w:tr w:rsidR="00EF0F8C" w:rsidRPr="00EF0F8C" w:rsidTr="00EF0F8C">
        <w:trPr>
          <w:tblCellSpacing w:w="0" w:type="dxa"/>
        </w:trPr>
        <w:tc>
          <w:tcPr>
            <w:tcW w:w="3810" w:type="dxa"/>
            <w:tcBorders>
              <w:top w:val="outset" w:sz="6" w:space="0" w:color="auto"/>
              <w:left w:val="outset" w:sz="6" w:space="0" w:color="auto"/>
              <w:bottom w:val="outset" w:sz="6" w:space="0" w:color="auto"/>
              <w:right w:val="outset" w:sz="6" w:space="0" w:color="auto"/>
            </w:tcBorders>
            <w:hideMark/>
          </w:tcPr>
          <w:p w:rsidR="00EF0F8C" w:rsidRPr="00EF0F8C" w:rsidRDefault="00EF0F8C" w:rsidP="00EF0F8C">
            <w:pPr>
              <w:spacing w:before="100" w:beforeAutospacing="1" w:after="100" w:afterAutospacing="1" w:line="240" w:lineRule="auto"/>
              <w:rPr>
                <w:rFonts w:eastAsia="Times New Roman" w:cs="Times New Roman"/>
                <w:sz w:val="24"/>
                <w:szCs w:val="24"/>
              </w:rPr>
            </w:pPr>
            <w:r w:rsidRPr="00EF0F8C">
              <w:rPr>
                <w:rFonts w:eastAsia="Times New Roman" w:cs="Times New Roman"/>
                <w:sz w:val="24"/>
                <w:szCs w:val="24"/>
              </w:rPr>
              <w:t>Ôtô tải loại tải trọng nhỏ</w:t>
            </w:r>
          </w:p>
        </w:tc>
        <w:tc>
          <w:tcPr>
            <w:tcW w:w="1740" w:type="dxa"/>
            <w:tcBorders>
              <w:top w:val="outset" w:sz="6" w:space="0" w:color="auto"/>
              <w:left w:val="outset" w:sz="6" w:space="0" w:color="auto"/>
              <w:bottom w:val="outset" w:sz="6" w:space="0" w:color="auto"/>
              <w:right w:val="outset" w:sz="6" w:space="0" w:color="auto"/>
            </w:tcBorders>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45%</w:t>
            </w:r>
          </w:p>
        </w:tc>
        <w:tc>
          <w:tcPr>
            <w:tcW w:w="1845" w:type="dxa"/>
            <w:tcBorders>
              <w:top w:val="outset" w:sz="6" w:space="0" w:color="auto"/>
              <w:left w:val="outset" w:sz="6" w:space="0" w:color="auto"/>
              <w:bottom w:val="outset" w:sz="6" w:space="0" w:color="auto"/>
              <w:right w:val="outset" w:sz="6" w:space="0" w:color="auto"/>
            </w:tcBorders>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2014</w:t>
            </w:r>
          </w:p>
        </w:tc>
      </w:tr>
      <w:tr w:rsidR="00EF0F8C" w:rsidRPr="00EF0F8C" w:rsidTr="00EF0F8C">
        <w:trPr>
          <w:tblCellSpacing w:w="0" w:type="dxa"/>
        </w:trPr>
        <w:tc>
          <w:tcPr>
            <w:tcW w:w="3810" w:type="dxa"/>
            <w:tcBorders>
              <w:top w:val="outset" w:sz="6" w:space="0" w:color="auto"/>
              <w:left w:val="outset" w:sz="6" w:space="0" w:color="auto"/>
              <w:bottom w:val="outset" w:sz="6" w:space="0" w:color="auto"/>
              <w:right w:val="outset" w:sz="6" w:space="0" w:color="auto"/>
            </w:tcBorders>
            <w:hideMark/>
          </w:tcPr>
          <w:p w:rsidR="00EF0F8C" w:rsidRPr="00EF0F8C" w:rsidRDefault="00EF0F8C" w:rsidP="00EF0F8C">
            <w:pPr>
              <w:spacing w:before="100" w:beforeAutospacing="1" w:after="100" w:afterAutospacing="1" w:line="240" w:lineRule="auto"/>
              <w:rPr>
                <w:rFonts w:eastAsia="Times New Roman" w:cs="Times New Roman"/>
                <w:sz w:val="24"/>
                <w:szCs w:val="24"/>
              </w:rPr>
            </w:pPr>
            <w:r w:rsidRPr="00EF0F8C">
              <w:rPr>
                <w:rFonts w:eastAsia="Times New Roman" w:cs="Times New Roman"/>
                <w:sz w:val="24"/>
                <w:szCs w:val="24"/>
              </w:rPr>
              <w:t>Xe máy</w:t>
            </w:r>
          </w:p>
        </w:tc>
        <w:tc>
          <w:tcPr>
            <w:tcW w:w="1740" w:type="dxa"/>
            <w:tcBorders>
              <w:top w:val="outset" w:sz="6" w:space="0" w:color="auto"/>
              <w:left w:val="outset" w:sz="6" w:space="0" w:color="auto"/>
              <w:bottom w:val="outset" w:sz="6" w:space="0" w:color="auto"/>
              <w:right w:val="outset" w:sz="6" w:space="0" w:color="auto"/>
            </w:tcBorders>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45%</w:t>
            </w:r>
          </w:p>
        </w:tc>
        <w:tc>
          <w:tcPr>
            <w:tcW w:w="1845" w:type="dxa"/>
            <w:tcBorders>
              <w:top w:val="outset" w:sz="6" w:space="0" w:color="auto"/>
              <w:left w:val="outset" w:sz="6" w:space="0" w:color="auto"/>
              <w:bottom w:val="outset" w:sz="6" w:space="0" w:color="auto"/>
              <w:right w:val="outset" w:sz="6" w:space="0" w:color="auto"/>
            </w:tcBorders>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2012</w:t>
            </w:r>
          </w:p>
        </w:tc>
      </w:tr>
      <w:tr w:rsidR="00EF0F8C" w:rsidRPr="00EF0F8C" w:rsidTr="00EF0F8C">
        <w:trPr>
          <w:tblCellSpacing w:w="0" w:type="dxa"/>
        </w:trPr>
        <w:tc>
          <w:tcPr>
            <w:tcW w:w="3810" w:type="dxa"/>
            <w:tcBorders>
              <w:top w:val="outset" w:sz="6" w:space="0" w:color="auto"/>
              <w:left w:val="outset" w:sz="6" w:space="0" w:color="auto"/>
              <w:bottom w:val="outset" w:sz="6" w:space="0" w:color="auto"/>
              <w:right w:val="outset" w:sz="6" w:space="0" w:color="auto"/>
            </w:tcBorders>
            <w:hideMark/>
          </w:tcPr>
          <w:p w:rsidR="00EF0F8C" w:rsidRPr="00EF0F8C" w:rsidRDefault="00EF0F8C" w:rsidP="00EF0F8C">
            <w:pPr>
              <w:spacing w:before="100" w:beforeAutospacing="1" w:after="100" w:afterAutospacing="1" w:line="240" w:lineRule="auto"/>
              <w:rPr>
                <w:rFonts w:eastAsia="Times New Roman" w:cs="Times New Roman"/>
                <w:sz w:val="24"/>
                <w:szCs w:val="24"/>
              </w:rPr>
            </w:pPr>
            <w:r w:rsidRPr="00EF0F8C">
              <w:rPr>
                <w:rFonts w:eastAsia="Times New Roman" w:cs="Times New Roman"/>
                <w:sz w:val="24"/>
                <w:szCs w:val="24"/>
              </w:rPr>
              <w:lastRenderedPageBreak/>
              <w:t>Phụ tùng xe máy</w:t>
            </w:r>
          </w:p>
        </w:tc>
        <w:tc>
          <w:tcPr>
            <w:tcW w:w="1740" w:type="dxa"/>
            <w:tcBorders>
              <w:top w:val="outset" w:sz="6" w:space="0" w:color="auto"/>
              <w:left w:val="outset" w:sz="6" w:space="0" w:color="auto"/>
              <w:bottom w:val="outset" w:sz="6" w:space="0" w:color="auto"/>
              <w:right w:val="outset" w:sz="6" w:space="0" w:color="auto"/>
            </w:tcBorders>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13%</w:t>
            </w:r>
          </w:p>
        </w:tc>
        <w:tc>
          <w:tcPr>
            <w:tcW w:w="1845" w:type="dxa"/>
            <w:tcBorders>
              <w:top w:val="outset" w:sz="6" w:space="0" w:color="auto"/>
              <w:left w:val="outset" w:sz="6" w:space="0" w:color="auto"/>
              <w:bottom w:val="outset" w:sz="6" w:space="0" w:color="auto"/>
              <w:right w:val="outset" w:sz="6" w:space="0" w:color="auto"/>
            </w:tcBorders>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2013</w:t>
            </w:r>
          </w:p>
        </w:tc>
      </w:tr>
      <w:tr w:rsidR="00EF0F8C" w:rsidRPr="00EF0F8C" w:rsidTr="00EF0F8C">
        <w:trPr>
          <w:tblCellSpacing w:w="0" w:type="dxa"/>
        </w:trPr>
        <w:tc>
          <w:tcPr>
            <w:tcW w:w="3810" w:type="dxa"/>
            <w:tcBorders>
              <w:top w:val="outset" w:sz="6" w:space="0" w:color="auto"/>
              <w:left w:val="outset" w:sz="6" w:space="0" w:color="auto"/>
              <w:bottom w:val="outset" w:sz="6" w:space="0" w:color="auto"/>
              <w:right w:val="outset" w:sz="6" w:space="0" w:color="auto"/>
            </w:tcBorders>
            <w:hideMark/>
          </w:tcPr>
          <w:p w:rsidR="00EF0F8C" w:rsidRPr="00EF0F8C" w:rsidRDefault="00EF0F8C" w:rsidP="00EF0F8C">
            <w:pPr>
              <w:spacing w:before="100" w:beforeAutospacing="1" w:after="100" w:afterAutospacing="1" w:line="240" w:lineRule="auto"/>
              <w:rPr>
                <w:rFonts w:eastAsia="Times New Roman" w:cs="Times New Roman"/>
                <w:sz w:val="24"/>
                <w:szCs w:val="24"/>
              </w:rPr>
            </w:pPr>
            <w:r w:rsidRPr="00EF0F8C">
              <w:rPr>
                <w:rFonts w:eastAsia="Times New Roman" w:cs="Times New Roman"/>
                <w:sz w:val="24"/>
                <w:szCs w:val="24"/>
              </w:rPr>
              <w:t>Sắt thép xây dựng</w:t>
            </w:r>
          </w:p>
        </w:tc>
        <w:tc>
          <w:tcPr>
            <w:tcW w:w="1740" w:type="dxa"/>
            <w:tcBorders>
              <w:top w:val="outset" w:sz="6" w:space="0" w:color="auto"/>
              <w:left w:val="outset" w:sz="6" w:space="0" w:color="auto"/>
              <w:bottom w:val="outset" w:sz="6" w:space="0" w:color="auto"/>
              <w:right w:val="outset" w:sz="6" w:space="0" w:color="auto"/>
            </w:tcBorders>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15%</w:t>
            </w:r>
          </w:p>
        </w:tc>
        <w:tc>
          <w:tcPr>
            <w:tcW w:w="1845" w:type="dxa"/>
            <w:tcBorders>
              <w:top w:val="outset" w:sz="6" w:space="0" w:color="auto"/>
              <w:left w:val="outset" w:sz="6" w:space="0" w:color="auto"/>
              <w:bottom w:val="outset" w:sz="6" w:space="0" w:color="auto"/>
              <w:right w:val="outset" w:sz="6" w:space="0" w:color="auto"/>
            </w:tcBorders>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2014</w:t>
            </w:r>
          </w:p>
        </w:tc>
      </w:tr>
      <w:tr w:rsidR="00EF0F8C" w:rsidRPr="00EF0F8C" w:rsidTr="00EF0F8C">
        <w:trPr>
          <w:tblCellSpacing w:w="0" w:type="dxa"/>
        </w:trPr>
        <w:tc>
          <w:tcPr>
            <w:tcW w:w="3810" w:type="dxa"/>
            <w:tcBorders>
              <w:top w:val="outset" w:sz="6" w:space="0" w:color="auto"/>
              <w:left w:val="outset" w:sz="6" w:space="0" w:color="auto"/>
              <w:bottom w:val="outset" w:sz="6" w:space="0" w:color="auto"/>
              <w:right w:val="outset" w:sz="6" w:space="0" w:color="auto"/>
            </w:tcBorders>
            <w:hideMark/>
          </w:tcPr>
          <w:p w:rsidR="00EF0F8C" w:rsidRPr="00EF0F8C" w:rsidRDefault="00EF0F8C" w:rsidP="00EF0F8C">
            <w:pPr>
              <w:spacing w:before="100" w:beforeAutospacing="1" w:after="100" w:afterAutospacing="1" w:line="240" w:lineRule="auto"/>
              <w:rPr>
                <w:rFonts w:eastAsia="Times New Roman" w:cs="Times New Roman"/>
                <w:sz w:val="24"/>
                <w:szCs w:val="24"/>
              </w:rPr>
            </w:pPr>
            <w:r w:rsidRPr="00EF0F8C">
              <w:rPr>
                <w:rFonts w:eastAsia="Times New Roman" w:cs="Times New Roman"/>
                <w:sz w:val="24"/>
                <w:szCs w:val="24"/>
              </w:rPr>
              <w:t>Điện tử-điện lạnh gia dụng</w:t>
            </w:r>
          </w:p>
        </w:tc>
        <w:tc>
          <w:tcPr>
            <w:tcW w:w="1740" w:type="dxa"/>
            <w:tcBorders>
              <w:top w:val="outset" w:sz="6" w:space="0" w:color="auto"/>
              <w:left w:val="outset" w:sz="6" w:space="0" w:color="auto"/>
              <w:bottom w:val="outset" w:sz="6" w:space="0" w:color="auto"/>
              <w:right w:val="outset" w:sz="6" w:space="0" w:color="auto"/>
            </w:tcBorders>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10-15%</w:t>
            </w:r>
          </w:p>
        </w:tc>
        <w:tc>
          <w:tcPr>
            <w:tcW w:w="1845" w:type="dxa"/>
            <w:tcBorders>
              <w:top w:val="outset" w:sz="6" w:space="0" w:color="auto"/>
              <w:left w:val="outset" w:sz="6" w:space="0" w:color="auto"/>
              <w:bottom w:val="outset" w:sz="6" w:space="0" w:color="auto"/>
              <w:right w:val="outset" w:sz="6" w:space="0" w:color="auto"/>
            </w:tcBorders>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2012-2013</w:t>
            </w:r>
          </w:p>
        </w:tc>
      </w:tr>
      <w:tr w:rsidR="00EF0F8C" w:rsidRPr="00EF0F8C" w:rsidTr="00EF0F8C">
        <w:trPr>
          <w:tblCellSpacing w:w="0" w:type="dxa"/>
        </w:trPr>
        <w:tc>
          <w:tcPr>
            <w:tcW w:w="3810" w:type="dxa"/>
            <w:tcBorders>
              <w:top w:val="outset" w:sz="6" w:space="0" w:color="auto"/>
              <w:left w:val="outset" w:sz="6" w:space="0" w:color="auto"/>
              <w:bottom w:val="outset" w:sz="6" w:space="0" w:color="auto"/>
              <w:right w:val="outset" w:sz="6" w:space="0" w:color="auto"/>
            </w:tcBorders>
            <w:hideMark/>
          </w:tcPr>
          <w:p w:rsidR="00EF0F8C" w:rsidRPr="00EF0F8C" w:rsidRDefault="00EF0F8C" w:rsidP="00EF0F8C">
            <w:pPr>
              <w:spacing w:before="100" w:beforeAutospacing="1" w:after="100" w:afterAutospacing="1" w:line="240" w:lineRule="auto"/>
              <w:rPr>
                <w:rFonts w:eastAsia="Times New Roman" w:cs="Times New Roman"/>
                <w:sz w:val="24"/>
                <w:szCs w:val="24"/>
              </w:rPr>
            </w:pPr>
            <w:r w:rsidRPr="00EF0F8C">
              <w:rPr>
                <w:rFonts w:eastAsia="Times New Roman" w:cs="Times New Roman"/>
                <w:sz w:val="24"/>
                <w:szCs w:val="24"/>
              </w:rPr>
              <w:t>Xăng dầu</w:t>
            </w:r>
          </w:p>
        </w:tc>
        <w:tc>
          <w:tcPr>
            <w:tcW w:w="1740" w:type="dxa"/>
            <w:tcBorders>
              <w:top w:val="outset" w:sz="6" w:space="0" w:color="auto"/>
              <w:left w:val="outset" w:sz="6" w:space="0" w:color="auto"/>
              <w:bottom w:val="outset" w:sz="6" w:space="0" w:color="auto"/>
              <w:right w:val="outset" w:sz="6" w:space="0" w:color="auto"/>
            </w:tcBorders>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20%</w:t>
            </w:r>
          </w:p>
        </w:tc>
        <w:tc>
          <w:tcPr>
            <w:tcW w:w="1845" w:type="dxa"/>
            <w:tcBorders>
              <w:top w:val="outset" w:sz="6" w:space="0" w:color="auto"/>
              <w:left w:val="outset" w:sz="6" w:space="0" w:color="auto"/>
              <w:bottom w:val="outset" w:sz="6" w:space="0" w:color="auto"/>
              <w:right w:val="outset" w:sz="6" w:space="0" w:color="auto"/>
            </w:tcBorders>
            <w:hideMark/>
          </w:tcPr>
          <w:p w:rsidR="00EF0F8C" w:rsidRPr="00EF0F8C" w:rsidRDefault="00EF0F8C" w:rsidP="00EF0F8C">
            <w:pPr>
              <w:spacing w:before="100" w:beforeAutospacing="1" w:after="100" w:afterAutospacing="1" w:line="240" w:lineRule="auto"/>
              <w:jc w:val="center"/>
              <w:rPr>
                <w:rFonts w:eastAsia="Times New Roman" w:cs="Times New Roman"/>
                <w:sz w:val="24"/>
                <w:szCs w:val="24"/>
              </w:rPr>
            </w:pPr>
            <w:r w:rsidRPr="00EF0F8C">
              <w:rPr>
                <w:rFonts w:eastAsia="Times New Roman" w:cs="Times New Roman"/>
                <w:sz w:val="24"/>
                <w:szCs w:val="24"/>
              </w:rPr>
              <w:t>2009</w:t>
            </w:r>
          </w:p>
        </w:tc>
      </w:tr>
    </w:tbl>
    <w:p w:rsidR="00EF0F8C" w:rsidRPr="00EF0F8C" w:rsidRDefault="00EF0F8C" w:rsidP="00EF0F8C">
      <w:pPr>
        <w:spacing w:before="100" w:beforeAutospacing="1" w:after="100" w:afterAutospacing="1" w:line="240" w:lineRule="auto"/>
        <w:rPr>
          <w:rFonts w:eastAsia="Times New Roman" w:cs="Times New Roman"/>
          <w:sz w:val="24"/>
          <w:szCs w:val="24"/>
        </w:rPr>
      </w:pPr>
      <w:r w:rsidRPr="00EF0F8C">
        <w:rPr>
          <w:rFonts w:eastAsia="Times New Roman" w:cs="Times New Roman"/>
          <w:sz w:val="24"/>
          <w:szCs w:val="24"/>
        </w:rPr>
        <w:t>Các mặt hàng còn lại của Biểu thuế nhập khẩu là các mặt hàng loại trừ (không phải giảm thuế) phù hợp với quy định của WTO.</w:t>
      </w:r>
    </w:p>
    <w:p w:rsidR="00EF0F8C" w:rsidRPr="00EF0F8C" w:rsidRDefault="00EF0F8C" w:rsidP="00EF0F8C">
      <w:pPr>
        <w:spacing w:before="100" w:beforeAutospacing="1" w:after="100" w:afterAutospacing="1" w:line="240" w:lineRule="auto"/>
        <w:rPr>
          <w:rFonts w:eastAsia="Times New Roman" w:cs="Times New Roman"/>
          <w:sz w:val="24"/>
          <w:szCs w:val="24"/>
        </w:rPr>
      </w:pPr>
      <w:r w:rsidRPr="00EF0F8C">
        <w:rPr>
          <w:rFonts w:eastAsia="Times New Roman" w:cs="Times New Roman"/>
          <w:b/>
          <w:bCs/>
          <w:sz w:val="24"/>
          <w:szCs w:val="24"/>
        </w:rPr>
        <w:t>Cam kết trong lĩnh vực thương mại dịch vụ</w:t>
      </w:r>
    </w:p>
    <w:p w:rsidR="00EF0F8C" w:rsidRPr="00EF0F8C" w:rsidRDefault="00EF0F8C" w:rsidP="00EF0F8C">
      <w:pPr>
        <w:spacing w:before="100" w:beforeAutospacing="1" w:after="100" w:afterAutospacing="1" w:line="240" w:lineRule="auto"/>
        <w:rPr>
          <w:rFonts w:eastAsia="Times New Roman" w:cs="Times New Roman"/>
          <w:sz w:val="24"/>
          <w:szCs w:val="24"/>
        </w:rPr>
      </w:pPr>
      <w:r w:rsidRPr="00EF0F8C">
        <w:rPr>
          <w:rFonts w:eastAsia="Times New Roman" w:cs="Times New Roman"/>
          <w:sz w:val="24"/>
          <w:szCs w:val="24"/>
        </w:rPr>
        <w:t>            Các nước ASEAN và Trung Quốc hiện chưa kết thúc đàm phán về dịch vụ trong khuôn khô ACFTA. Hiện các nước tham gia đang đàm phán gói 2 về dịch vụ. Cam kết của Việt Nam trong gói 1 tương đương với cam kết WTO.</w:t>
      </w:r>
    </w:p>
    <w:p w:rsidR="00DA5CDF" w:rsidRDefault="00DA5CDF"/>
    <w:sectPr w:rsidR="00DA5CDF" w:rsidSect="00DA5C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F0F8C"/>
    <w:rsid w:val="00642073"/>
    <w:rsid w:val="00861F6F"/>
    <w:rsid w:val="00DA5CDF"/>
    <w:rsid w:val="00EF0F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CDF"/>
  </w:style>
  <w:style w:type="paragraph" w:styleId="Heading1">
    <w:name w:val="heading 1"/>
    <w:basedOn w:val="Normal"/>
    <w:link w:val="Heading1Char"/>
    <w:uiPriority w:val="9"/>
    <w:qFormat/>
    <w:rsid w:val="00EF0F8C"/>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0F8C"/>
    <w:rPr>
      <w:rFonts w:eastAsia="Times New Roman" w:cs="Times New Roman"/>
      <w:b/>
      <w:bCs/>
      <w:kern w:val="36"/>
      <w:sz w:val="48"/>
      <w:szCs w:val="48"/>
    </w:rPr>
  </w:style>
  <w:style w:type="paragraph" w:styleId="NormalWeb">
    <w:name w:val="Normal (Web)"/>
    <w:basedOn w:val="Normal"/>
    <w:uiPriority w:val="99"/>
    <w:unhideWhenUsed/>
    <w:rsid w:val="00EF0F8C"/>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EF0F8C"/>
    <w:rPr>
      <w:b/>
      <w:bCs/>
    </w:rPr>
  </w:style>
  <w:style w:type="character" w:styleId="Emphasis">
    <w:name w:val="Emphasis"/>
    <w:basedOn w:val="DefaultParagraphFont"/>
    <w:uiPriority w:val="20"/>
    <w:qFormat/>
    <w:rsid w:val="00EF0F8C"/>
    <w:rPr>
      <w:i/>
      <w:iCs/>
    </w:rPr>
  </w:style>
</w:styles>
</file>

<file path=word/webSettings.xml><?xml version="1.0" encoding="utf-8"?>
<w:webSettings xmlns:r="http://schemas.openxmlformats.org/officeDocument/2006/relationships" xmlns:w="http://schemas.openxmlformats.org/wordprocessingml/2006/main">
  <w:divs>
    <w:div w:id="1538007943">
      <w:bodyDiv w:val="1"/>
      <w:marLeft w:val="0"/>
      <w:marRight w:val="0"/>
      <w:marTop w:val="0"/>
      <w:marBottom w:val="0"/>
      <w:divBdr>
        <w:top w:val="none" w:sz="0" w:space="0" w:color="auto"/>
        <w:left w:val="none" w:sz="0" w:space="0" w:color="auto"/>
        <w:bottom w:val="none" w:sz="0" w:space="0" w:color="auto"/>
        <w:right w:val="none" w:sz="0" w:space="0" w:color="auto"/>
      </w:divBdr>
      <w:divsChild>
        <w:div w:id="1367757192">
          <w:marLeft w:val="0"/>
          <w:marRight w:val="0"/>
          <w:marTop w:val="0"/>
          <w:marBottom w:val="0"/>
          <w:divBdr>
            <w:top w:val="none" w:sz="0" w:space="0" w:color="auto"/>
            <w:left w:val="none" w:sz="0" w:space="0" w:color="auto"/>
            <w:bottom w:val="none" w:sz="0" w:space="0" w:color="auto"/>
            <w:right w:val="none" w:sz="0" w:space="0" w:color="auto"/>
          </w:divBdr>
          <w:divsChild>
            <w:div w:id="65241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656</Words>
  <Characters>3744</Characters>
  <Application>Microsoft Office Word</Application>
  <DocSecurity>0</DocSecurity>
  <Lines>31</Lines>
  <Paragraphs>8</Paragraphs>
  <ScaleCrop>false</ScaleCrop>
  <Company>TRAN DOAN COMPUTER</Company>
  <LinksUpToDate>false</LinksUpToDate>
  <CharactersWithSpaces>4392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vynguyenhoangthanh</dc:creator>
  <cp:keywords/>
  <dc:description/>
  <cp:lastModifiedBy>vynguyenhoangthanh</cp:lastModifiedBy>
  <cp:revision>1</cp:revision>
  <dcterms:created xsi:type="dcterms:W3CDTF">2015-07-24T04:08:00Z</dcterms:created>
  <dcterms:modified xsi:type="dcterms:W3CDTF">2015-07-24T04:08:00Z</dcterms:modified>
</cp:coreProperties>
</file>